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FD4D" w14:textId="5DDE41C9" w:rsidR="006926E5" w:rsidRPr="00FB7455" w:rsidRDefault="002C00A7" w:rsidP="00FB7455">
      <w:pPr>
        <w:pStyle w:val="MDPI21heading1"/>
        <w:ind w:left="0"/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FB7455">
        <w:rPr>
          <w:sz w:val="28"/>
          <w:szCs w:val="28"/>
          <w:lang w:eastAsia="zh-CN"/>
        </w:rPr>
        <w:t>Supplementary</w:t>
      </w:r>
      <w:r w:rsidR="00964DB2" w:rsidRPr="00FB7455">
        <w:rPr>
          <w:sz w:val="28"/>
          <w:szCs w:val="28"/>
          <w:lang w:eastAsia="zh-CN"/>
        </w:rPr>
        <w:t xml:space="preserve"> Material</w:t>
      </w:r>
    </w:p>
    <w:p w14:paraId="36FFE509" w14:textId="5ADBC42E" w:rsidR="00405996" w:rsidRPr="00FB7455" w:rsidRDefault="00405996" w:rsidP="00FB7455">
      <w:pPr>
        <w:pStyle w:val="MDPI21heading1"/>
        <w:ind w:left="0"/>
        <w:rPr>
          <w:sz w:val="24"/>
          <w:lang w:eastAsia="zh-CN"/>
        </w:rPr>
      </w:pPr>
      <w:r w:rsidRPr="00FB7455">
        <w:rPr>
          <w:sz w:val="24"/>
          <w:lang w:eastAsia="zh-CN"/>
        </w:rPr>
        <w:t>1 Tables</w:t>
      </w:r>
    </w:p>
    <w:p w14:paraId="6693715C" w14:textId="70DC6D24" w:rsidR="00EC05FB" w:rsidRPr="00FB7455" w:rsidRDefault="00EC05FB" w:rsidP="00CE0270">
      <w:pPr>
        <w:pStyle w:val="MDPI41tablecaption"/>
        <w:ind w:left="851" w:right="685"/>
        <w:rPr>
          <w:rFonts w:ascii="Times New Roman" w:hAnsi="Times New Roman" w:cs="Times New Roman"/>
          <w:sz w:val="28"/>
          <w:szCs w:val="24"/>
        </w:rPr>
      </w:pPr>
      <w:r w:rsidRPr="00FB7455">
        <w:rPr>
          <w:b/>
          <w:sz w:val="20"/>
        </w:rPr>
        <w:t>Tabl</w:t>
      </w:r>
      <w:r w:rsidR="00CE0270">
        <w:rPr>
          <w:b/>
          <w:sz w:val="20"/>
        </w:rPr>
        <w:t xml:space="preserve">e </w:t>
      </w:r>
      <w:r w:rsidRPr="00FB7455">
        <w:rPr>
          <w:b/>
          <w:sz w:val="20"/>
        </w:rPr>
        <w:t>S</w:t>
      </w:r>
      <w:r w:rsidR="00DB7617" w:rsidRPr="00FB7455">
        <w:rPr>
          <w:b/>
          <w:sz w:val="20"/>
        </w:rPr>
        <w:t>1</w:t>
      </w:r>
      <w:r w:rsidRPr="00FB7455">
        <w:rPr>
          <w:sz w:val="20"/>
        </w:rPr>
        <w:t xml:space="preserve">. Tested </w:t>
      </w:r>
      <w:r w:rsidR="00CE0616" w:rsidRPr="00FB7455">
        <w:rPr>
          <w:sz w:val="20"/>
        </w:rPr>
        <w:t xml:space="preserve">polyphenolic </w:t>
      </w:r>
      <w:r w:rsidRPr="00FB7455">
        <w:rPr>
          <w:sz w:val="20"/>
        </w:rPr>
        <w:t xml:space="preserve">standards for </w:t>
      </w:r>
      <w:r w:rsidR="00CE0270">
        <w:rPr>
          <w:sz w:val="20"/>
        </w:rPr>
        <w:t>HPLC</w:t>
      </w:r>
      <w:r w:rsidRPr="00FB7455">
        <w:rPr>
          <w:sz w:val="20"/>
        </w:rPr>
        <w:t xml:space="preserve"> characterization.</w:t>
      </w:r>
      <w:r w:rsidRPr="00FB7455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4543"/>
      </w:tblGrid>
      <w:tr w:rsidR="00EC05FB" w:rsidRPr="00FB7455" w14:paraId="247018C3" w14:textId="77777777" w:rsidTr="00CE0270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15D96" w14:textId="7DF3F486" w:rsidR="00EC05FB" w:rsidRPr="00FB7455" w:rsidRDefault="00B713B6" w:rsidP="004E5A75">
            <w:pPr>
              <w:pStyle w:val="MDPI42tablebody"/>
              <w:rPr>
                <w:b/>
                <w:bCs/>
              </w:rPr>
            </w:pPr>
            <w:r w:rsidRPr="00FB7455">
              <w:rPr>
                <w:b/>
                <w:bCs/>
              </w:rPr>
              <w:t>Polyphenolic Standards</w:t>
            </w:r>
          </w:p>
        </w:tc>
      </w:tr>
      <w:tr w:rsidR="00CE0616" w:rsidRPr="00FB7455" w14:paraId="032819E5" w14:textId="77777777" w:rsidTr="00CE0270">
        <w:trPr>
          <w:jc w:val="center"/>
        </w:trPr>
        <w:tc>
          <w:tcPr>
            <w:tcW w:w="4104" w:type="dxa"/>
            <w:tcBorders>
              <w:top w:val="single" w:sz="4" w:space="0" w:color="auto"/>
            </w:tcBorders>
            <w:vAlign w:val="bottom"/>
          </w:tcPr>
          <w:p w14:paraId="7B72BF70" w14:textId="4012E22A" w:rsidR="00CE0616" w:rsidRPr="00FB7455" w:rsidRDefault="00CE0616" w:rsidP="00CE0270">
            <w:pPr>
              <w:pStyle w:val="MDPI42tablebody"/>
              <w:spacing w:before="60"/>
              <w:rPr>
                <w:bCs/>
              </w:rPr>
            </w:pPr>
            <w:r w:rsidRPr="00FB7455">
              <w:rPr>
                <w:bCs/>
              </w:rPr>
              <w:t>(-)-Epicatechin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vAlign w:val="bottom"/>
          </w:tcPr>
          <w:p w14:paraId="7C271A47" w14:textId="7D50C9E8" w:rsidR="00CE0616" w:rsidRPr="00FB7455" w:rsidRDefault="00CE0616" w:rsidP="00CE0270">
            <w:pPr>
              <w:pStyle w:val="MDPI42tablebody"/>
              <w:spacing w:before="60"/>
              <w:rPr>
                <w:bCs/>
              </w:rPr>
            </w:pPr>
            <w:r w:rsidRPr="00FB7455">
              <w:rPr>
                <w:bCs/>
              </w:rPr>
              <w:t xml:space="preserve">Malvidin-3-glucoside </w:t>
            </w:r>
          </w:p>
        </w:tc>
      </w:tr>
      <w:tr w:rsidR="00CE0616" w:rsidRPr="00FB7455" w14:paraId="6618AD04" w14:textId="77777777" w:rsidTr="00CE0270">
        <w:trPr>
          <w:jc w:val="center"/>
        </w:trPr>
        <w:tc>
          <w:tcPr>
            <w:tcW w:w="4104" w:type="dxa"/>
            <w:vAlign w:val="bottom"/>
          </w:tcPr>
          <w:p w14:paraId="347622A9" w14:textId="2F7B42C5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(-)-Epicatechin 3-gallate</w:t>
            </w:r>
          </w:p>
        </w:tc>
        <w:tc>
          <w:tcPr>
            <w:tcW w:w="4543" w:type="dxa"/>
            <w:vAlign w:val="bottom"/>
          </w:tcPr>
          <w:p w14:paraId="331C7747" w14:textId="1F5ECDAF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Malvidin chloride</w:t>
            </w:r>
          </w:p>
        </w:tc>
      </w:tr>
      <w:tr w:rsidR="00CE0616" w:rsidRPr="00FB7455" w14:paraId="6B38D755" w14:textId="77777777" w:rsidTr="00CE0270">
        <w:trPr>
          <w:jc w:val="center"/>
        </w:trPr>
        <w:tc>
          <w:tcPr>
            <w:tcW w:w="4104" w:type="dxa"/>
            <w:vAlign w:val="bottom"/>
          </w:tcPr>
          <w:p w14:paraId="5BB26491" w14:textId="19F9CDB8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(-)-</w:t>
            </w:r>
            <w:r w:rsidR="002C00A7" w:rsidRPr="00FB7455">
              <w:rPr>
                <w:bCs/>
              </w:rPr>
              <w:t>Epigallocatechin</w:t>
            </w:r>
          </w:p>
        </w:tc>
        <w:tc>
          <w:tcPr>
            <w:tcW w:w="4543" w:type="dxa"/>
            <w:vAlign w:val="bottom"/>
          </w:tcPr>
          <w:p w14:paraId="65C90104" w14:textId="187E5A3C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Myricetin</w:t>
            </w:r>
          </w:p>
        </w:tc>
      </w:tr>
      <w:tr w:rsidR="00CE0616" w:rsidRPr="00FB7455" w14:paraId="38DA5833" w14:textId="77777777" w:rsidTr="00CE0270">
        <w:trPr>
          <w:jc w:val="center"/>
        </w:trPr>
        <w:tc>
          <w:tcPr>
            <w:tcW w:w="4104" w:type="dxa"/>
            <w:vAlign w:val="bottom"/>
          </w:tcPr>
          <w:p w14:paraId="7EA9D2C2" w14:textId="474FD125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(+)-Catechin hydrate</w:t>
            </w:r>
          </w:p>
        </w:tc>
        <w:tc>
          <w:tcPr>
            <w:tcW w:w="4543" w:type="dxa"/>
            <w:vAlign w:val="bottom"/>
          </w:tcPr>
          <w:p w14:paraId="5407587B" w14:textId="36E8A215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Naringenin</w:t>
            </w:r>
          </w:p>
        </w:tc>
      </w:tr>
      <w:tr w:rsidR="00CE0616" w:rsidRPr="00FB7455" w14:paraId="7D7E2E4A" w14:textId="77777777" w:rsidTr="00CE0270">
        <w:trPr>
          <w:jc w:val="center"/>
        </w:trPr>
        <w:tc>
          <w:tcPr>
            <w:tcW w:w="4104" w:type="dxa"/>
            <w:vAlign w:val="bottom"/>
          </w:tcPr>
          <w:p w14:paraId="2B767D7C" w14:textId="5C175906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2-(4-</w:t>
            </w:r>
            <w:proofErr w:type="gramStart"/>
            <w:r w:rsidRPr="00FB7455">
              <w:rPr>
                <w:bCs/>
              </w:rPr>
              <w:t>Hydroxyphenyl)ethanol</w:t>
            </w:r>
            <w:proofErr w:type="gramEnd"/>
            <w:r w:rsidRPr="00FB7455">
              <w:rPr>
                <w:bCs/>
              </w:rPr>
              <w:t>/</w:t>
            </w:r>
            <w:proofErr w:type="spellStart"/>
            <w:r w:rsidRPr="00FB7455">
              <w:rPr>
                <w:bCs/>
              </w:rPr>
              <w:t>Tyrosol</w:t>
            </w:r>
            <w:proofErr w:type="spellEnd"/>
          </w:p>
        </w:tc>
        <w:tc>
          <w:tcPr>
            <w:tcW w:w="4543" w:type="dxa"/>
            <w:vAlign w:val="bottom"/>
          </w:tcPr>
          <w:p w14:paraId="7BB8D988" w14:textId="1CA306CE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Naringin</w:t>
            </w:r>
          </w:p>
        </w:tc>
      </w:tr>
      <w:tr w:rsidR="00CE0616" w:rsidRPr="00FB7455" w14:paraId="48CE4616" w14:textId="77777777" w:rsidTr="00CE0270">
        <w:trPr>
          <w:jc w:val="center"/>
        </w:trPr>
        <w:tc>
          <w:tcPr>
            <w:tcW w:w="4104" w:type="dxa"/>
            <w:vAlign w:val="bottom"/>
          </w:tcPr>
          <w:p w14:paraId="6CC2BEB2" w14:textId="06BF1A31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3,4-Dihydroxybenzoic acid</w:t>
            </w:r>
          </w:p>
        </w:tc>
        <w:tc>
          <w:tcPr>
            <w:tcW w:w="4543" w:type="dxa"/>
            <w:vAlign w:val="bottom"/>
          </w:tcPr>
          <w:p w14:paraId="061AAF93" w14:textId="3DC54E4D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Neochlorogenic acid</w:t>
            </w:r>
          </w:p>
        </w:tc>
      </w:tr>
      <w:tr w:rsidR="00CE0616" w:rsidRPr="00FB7455" w14:paraId="0AF4CE4D" w14:textId="77777777" w:rsidTr="00CE0270">
        <w:trPr>
          <w:jc w:val="center"/>
        </w:trPr>
        <w:tc>
          <w:tcPr>
            <w:tcW w:w="4104" w:type="dxa"/>
            <w:vAlign w:val="bottom"/>
          </w:tcPr>
          <w:p w14:paraId="7E4D6038" w14:textId="6C5C8990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Apigenin</w:t>
            </w:r>
          </w:p>
        </w:tc>
        <w:tc>
          <w:tcPr>
            <w:tcW w:w="4543" w:type="dxa"/>
            <w:vAlign w:val="bottom"/>
          </w:tcPr>
          <w:p w14:paraId="79714F1C" w14:textId="372A8D99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  <w:i/>
              </w:rPr>
              <w:t>p</w:t>
            </w:r>
            <w:r w:rsidRPr="00FB7455">
              <w:rPr>
                <w:bCs/>
              </w:rPr>
              <w:t>-C</w:t>
            </w:r>
            <w:r w:rsidR="00FB7455">
              <w:rPr>
                <w:bCs/>
              </w:rPr>
              <w:t>o</w:t>
            </w:r>
            <w:r w:rsidRPr="00FB7455">
              <w:rPr>
                <w:bCs/>
              </w:rPr>
              <w:t>umaric acid</w:t>
            </w:r>
          </w:p>
        </w:tc>
      </w:tr>
      <w:tr w:rsidR="00CE0616" w:rsidRPr="00FB7455" w14:paraId="052E524A" w14:textId="77777777" w:rsidTr="00CE0270">
        <w:trPr>
          <w:jc w:val="center"/>
        </w:trPr>
        <w:tc>
          <w:tcPr>
            <w:tcW w:w="4104" w:type="dxa"/>
            <w:vAlign w:val="bottom"/>
          </w:tcPr>
          <w:p w14:paraId="42239BC0" w14:textId="35164942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Caffeic acid</w:t>
            </w:r>
          </w:p>
        </w:tc>
        <w:tc>
          <w:tcPr>
            <w:tcW w:w="4543" w:type="dxa"/>
            <w:vAlign w:val="bottom"/>
          </w:tcPr>
          <w:p w14:paraId="6B1AFB79" w14:textId="515E2742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Peonidin chloride</w:t>
            </w:r>
          </w:p>
        </w:tc>
      </w:tr>
      <w:tr w:rsidR="00CE0616" w:rsidRPr="00FB7455" w14:paraId="407E33EC" w14:textId="77777777" w:rsidTr="00CE0270">
        <w:trPr>
          <w:jc w:val="center"/>
        </w:trPr>
        <w:tc>
          <w:tcPr>
            <w:tcW w:w="4104" w:type="dxa"/>
            <w:vAlign w:val="bottom"/>
          </w:tcPr>
          <w:p w14:paraId="5191F17D" w14:textId="33052AD7" w:rsidR="00CE0616" w:rsidRPr="00FB7455" w:rsidRDefault="00CE0616" w:rsidP="004E5A75">
            <w:pPr>
              <w:pStyle w:val="MDPI42tablebody"/>
              <w:rPr>
                <w:bCs/>
              </w:rPr>
            </w:pPr>
            <w:proofErr w:type="spellStart"/>
            <w:r w:rsidRPr="00FB7455">
              <w:rPr>
                <w:bCs/>
              </w:rPr>
              <w:t>Caftaric</w:t>
            </w:r>
            <w:proofErr w:type="spellEnd"/>
            <w:r w:rsidRPr="00FB7455">
              <w:rPr>
                <w:bCs/>
              </w:rPr>
              <w:t xml:space="preserve"> acid</w:t>
            </w:r>
          </w:p>
        </w:tc>
        <w:tc>
          <w:tcPr>
            <w:tcW w:w="4543" w:type="dxa"/>
            <w:vAlign w:val="bottom"/>
          </w:tcPr>
          <w:p w14:paraId="66EA2AF0" w14:textId="2414EA9E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Piceatannol</w:t>
            </w:r>
          </w:p>
        </w:tc>
      </w:tr>
      <w:tr w:rsidR="00CE0616" w:rsidRPr="00FB7455" w14:paraId="21FFD148" w14:textId="77777777" w:rsidTr="00CE0270">
        <w:trPr>
          <w:jc w:val="center"/>
        </w:trPr>
        <w:tc>
          <w:tcPr>
            <w:tcW w:w="4104" w:type="dxa"/>
            <w:vAlign w:val="bottom"/>
          </w:tcPr>
          <w:p w14:paraId="6D21E4DD" w14:textId="684946FB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Chlorogenic acid</w:t>
            </w:r>
          </w:p>
        </w:tc>
        <w:tc>
          <w:tcPr>
            <w:tcW w:w="4543" w:type="dxa"/>
            <w:vAlign w:val="bottom"/>
          </w:tcPr>
          <w:p w14:paraId="4855E35A" w14:textId="5179687E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Polydatin</w:t>
            </w:r>
          </w:p>
        </w:tc>
      </w:tr>
      <w:tr w:rsidR="00CE0616" w:rsidRPr="00FB7455" w14:paraId="746DED33" w14:textId="77777777" w:rsidTr="00CE0270">
        <w:trPr>
          <w:jc w:val="center"/>
        </w:trPr>
        <w:tc>
          <w:tcPr>
            <w:tcW w:w="4104" w:type="dxa"/>
            <w:vAlign w:val="bottom"/>
          </w:tcPr>
          <w:p w14:paraId="28D32A68" w14:textId="5E34F2F5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Cinnamic acid</w:t>
            </w:r>
          </w:p>
        </w:tc>
        <w:tc>
          <w:tcPr>
            <w:tcW w:w="4543" w:type="dxa"/>
            <w:vAlign w:val="bottom"/>
          </w:tcPr>
          <w:p w14:paraId="480EA21C" w14:textId="57B8178F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Procyanidin A2</w:t>
            </w:r>
          </w:p>
        </w:tc>
      </w:tr>
      <w:tr w:rsidR="00CE0616" w:rsidRPr="00FB7455" w14:paraId="0B578229" w14:textId="77777777" w:rsidTr="00CE0270">
        <w:trPr>
          <w:jc w:val="center"/>
        </w:trPr>
        <w:tc>
          <w:tcPr>
            <w:tcW w:w="4104" w:type="dxa"/>
            <w:vAlign w:val="bottom"/>
          </w:tcPr>
          <w:p w14:paraId="3D9AB130" w14:textId="0E3EDC7B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Cyanidin 3,5-diglucoside</w:t>
            </w:r>
          </w:p>
        </w:tc>
        <w:tc>
          <w:tcPr>
            <w:tcW w:w="4543" w:type="dxa"/>
            <w:vAlign w:val="bottom"/>
          </w:tcPr>
          <w:p w14:paraId="728C4C49" w14:textId="5FE3948C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Procyanidin B1</w:t>
            </w:r>
          </w:p>
        </w:tc>
      </w:tr>
      <w:tr w:rsidR="00CE0616" w:rsidRPr="00FB7455" w14:paraId="29CF99E1" w14:textId="77777777" w:rsidTr="00CE0270">
        <w:trPr>
          <w:jc w:val="center"/>
        </w:trPr>
        <w:tc>
          <w:tcPr>
            <w:tcW w:w="4104" w:type="dxa"/>
            <w:vAlign w:val="bottom"/>
          </w:tcPr>
          <w:p w14:paraId="66A32A99" w14:textId="7714BC3F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Cyanidin 3-glucoside</w:t>
            </w:r>
          </w:p>
        </w:tc>
        <w:tc>
          <w:tcPr>
            <w:tcW w:w="4543" w:type="dxa"/>
            <w:vAlign w:val="bottom"/>
          </w:tcPr>
          <w:p w14:paraId="1CA61064" w14:textId="38C6A92F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Procyanidin B2</w:t>
            </w:r>
          </w:p>
        </w:tc>
      </w:tr>
      <w:tr w:rsidR="00CE0616" w:rsidRPr="00FB7455" w14:paraId="068CB6B6" w14:textId="77777777" w:rsidTr="00CE0270">
        <w:trPr>
          <w:jc w:val="center"/>
        </w:trPr>
        <w:tc>
          <w:tcPr>
            <w:tcW w:w="4104" w:type="dxa"/>
            <w:vAlign w:val="bottom"/>
          </w:tcPr>
          <w:p w14:paraId="2ED9AB8B" w14:textId="7186AA6E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Cyanidin chloride</w:t>
            </w:r>
          </w:p>
        </w:tc>
        <w:tc>
          <w:tcPr>
            <w:tcW w:w="4543" w:type="dxa"/>
            <w:vAlign w:val="bottom"/>
          </w:tcPr>
          <w:p w14:paraId="6F96C83D" w14:textId="38554040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Quercetin</w:t>
            </w:r>
          </w:p>
        </w:tc>
      </w:tr>
      <w:tr w:rsidR="00CE0616" w:rsidRPr="00FB7455" w14:paraId="19AC713B" w14:textId="77777777" w:rsidTr="00CE0270">
        <w:trPr>
          <w:jc w:val="center"/>
        </w:trPr>
        <w:tc>
          <w:tcPr>
            <w:tcW w:w="4104" w:type="dxa"/>
            <w:vAlign w:val="bottom"/>
          </w:tcPr>
          <w:p w14:paraId="10E9AC33" w14:textId="56452D61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Delphinidin 3-glucoside</w:t>
            </w:r>
          </w:p>
        </w:tc>
        <w:tc>
          <w:tcPr>
            <w:tcW w:w="4543" w:type="dxa"/>
            <w:vAlign w:val="bottom"/>
          </w:tcPr>
          <w:p w14:paraId="6F7FECCD" w14:textId="398E985D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Quercetin 3-D-galactoside</w:t>
            </w:r>
          </w:p>
        </w:tc>
      </w:tr>
      <w:tr w:rsidR="00CE0616" w:rsidRPr="00FB7455" w14:paraId="74BFC561" w14:textId="77777777" w:rsidTr="00CE0270">
        <w:trPr>
          <w:jc w:val="center"/>
        </w:trPr>
        <w:tc>
          <w:tcPr>
            <w:tcW w:w="4104" w:type="dxa"/>
            <w:vAlign w:val="bottom"/>
          </w:tcPr>
          <w:p w14:paraId="0116E8A8" w14:textId="36EABFF9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Delphinidin chloride</w:t>
            </w:r>
          </w:p>
        </w:tc>
        <w:tc>
          <w:tcPr>
            <w:tcW w:w="4543" w:type="dxa"/>
            <w:vAlign w:val="bottom"/>
          </w:tcPr>
          <w:p w14:paraId="66E8317F" w14:textId="2E77FBB5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Quercetin 3-glucoside</w:t>
            </w:r>
          </w:p>
        </w:tc>
      </w:tr>
      <w:tr w:rsidR="00CE0616" w:rsidRPr="00FB7455" w14:paraId="688DD607" w14:textId="77777777" w:rsidTr="00CE0270">
        <w:trPr>
          <w:jc w:val="center"/>
        </w:trPr>
        <w:tc>
          <w:tcPr>
            <w:tcW w:w="4104" w:type="dxa"/>
            <w:vAlign w:val="bottom"/>
          </w:tcPr>
          <w:p w14:paraId="7E23FE99" w14:textId="66D39636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Ellagic acid</w:t>
            </w:r>
          </w:p>
        </w:tc>
        <w:tc>
          <w:tcPr>
            <w:tcW w:w="4543" w:type="dxa"/>
            <w:vAlign w:val="bottom"/>
          </w:tcPr>
          <w:p w14:paraId="45EB2240" w14:textId="4C001303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Quercetin-3-O-glucuronide</w:t>
            </w:r>
          </w:p>
        </w:tc>
      </w:tr>
      <w:tr w:rsidR="00CE0616" w:rsidRPr="00A24C23" w14:paraId="501C3E51" w14:textId="77777777" w:rsidTr="00CE0270">
        <w:trPr>
          <w:jc w:val="center"/>
        </w:trPr>
        <w:tc>
          <w:tcPr>
            <w:tcW w:w="4104" w:type="dxa"/>
            <w:vAlign w:val="bottom"/>
          </w:tcPr>
          <w:p w14:paraId="05B7214B" w14:textId="5E367EE4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Ferulic acid</w:t>
            </w:r>
          </w:p>
        </w:tc>
        <w:tc>
          <w:tcPr>
            <w:tcW w:w="4543" w:type="dxa"/>
            <w:vAlign w:val="bottom"/>
          </w:tcPr>
          <w:p w14:paraId="5D84F0F1" w14:textId="275FF920" w:rsidR="00CE0616" w:rsidRPr="00FB7455" w:rsidRDefault="00CE0616" w:rsidP="004E5A75">
            <w:pPr>
              <w:pStyle w:val="MDPI42tablebody"/>
              <w:rPr>
                <w:bCs/>
                <w:lang w:val="es-ES"/>
              </w:rPr>
            </w:pPr>
            <w:r w:rsidRPr="00FB7455">
              <w:rPr>
                <w:bCs/>
                <w:lang w:val="es-ES"/>
              </w:rPr>
              <w:t>Quercetin-3-o-</w:t>
            </w:r>
            <w:r w:rsidRPr="00FB7455">
              <w:rPr>
                <w:bCs/>
              </w:rPr>
              <w:t>β</w:t>
            </w:r>
            <w:r w:rsidRPr="00FB7455">
              <w:rPr>
                <w:bCs/>
                <w:lang w:val="es-ES"/>
              </w:rPr>
              <w:t>-D-</w:t>
            </w:r>
            <w:proofErr w:type="spellStart"/>
            <w:r w:rsidRPr="00FB7455">
              <w:rPr>
                <w:bCs/>
                <w:lang w:val="es-ES"/>
              </w:rPr>
              <w:t>glucuronide</w:t>
            </w:r>
            <w:proofErr w:type="spellEnd"/>
          </w:p>
        </w:tc>
      </w:tr>
      <w:tr w:rsidR="00CE0616" w:rsidRPr="00FB7455" w14:paraId="58D75A3A" w14:textId="77777777" w:rsidTr="00CE0270">
        <w:trPr>
          <w:jc w:val="center"/>
        </w:trPr>
        <w:tc>
          <w:tcPr>
            <w:tcW w:w="4104" w:type="dxa"/>
            <w:vAlign w:val="bottom"/>
          </w:tcPr>
          <w:p w14:paraId="1E4525B7" w14:textId="6BAED288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Gallic acid monohydrate</w:t>
            </w:r>
          </w:p>
        </w:tc>
        <w:tc>
          <w:tcPr>
            <w:tcW w:w="4543" w:type="dxa"/>
            <w:vAlign w:val="bottom"/>
          </w:tcPr>
          <w:p w14:paraId="5DC4900E" w14:textId="521D83B5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Resveratrol</w:t>
            </w:r>
          </w:p>
        </w:tc>
      </w:tr>
      <w:tr w:rsidR="00CE0616" w:rsidRPr="00FB7455" w14:paraId="7C0C9322" w14:textId="77777777" w:rsidTr="00CE0270">
        <w:trPr>
          <w:jc w:val="center"/>
        </w:trPr>
        <w:tc>
          <w:tcPr>
            <w:tcW w:w="4104" w:type="dxa"/>
            <w:vAlign w:val="bottom"/>
          </w:tcPr>
          <w:p w14:paraId="398DD7D7" w14:textId="2CCFA637" w:rsidR="00CE0616" w:rsidRPr="00FB7455" w:rsidRDefault="00CE0616" w:rsidP="004E5A75">
            <w:pPr>
              <w:pStyle w:val="MDPI42tablebody"/>
              <w:rPr>
                <w:bCs/>
              </w:rPr>
            </w:pPr>
            <w:proofErr w:type="spellStart"/>
            <w:r w:rsidRPr="00FB7455">
              <w:rPr>
                <w:bCs/>
              </w:rPr>
              <w:t>Hydroxytyrosol</w:t>
            </w:r>
            <w:proofErr w:type="spellEnd"/>
          </w:p>
        </w:tc>
        <w:tc>
          <w:tcPr>
            <w:tcW w:w="4543" w:type="dxa"/>
            <w:vAlign w:val="bottom"/>
          </w:tcPr>
          <w:p w14:paraId="119E2C0C" w14:textId="51528C2C" w:rsidR="00CE0616" w:rsidRPr="00FB7455" w:rsidRDefault="00CE0616" w:rsidP="004E5A75">
            <w:pPr>
              <w:pStyle w:val="MDPI42tablebody"/>
              <w:rPr>
                <w:bCs/>
              </w:rPr>
            </w:pPr>
            <w:proofErr w:type="spellStart"/>
            <w:r w:rsidRPr="00FB7455">
              <w:rPr>
                <w:bCs/>
              </w:rPr>
              <w:t>Rutin</w:t>
            </w:r>
            <w:proofErr w:type="spellEnd"/>
            <w:r w:rsidRPr="00FB7455">
              <w:rPr>
                <w:bCs/>
              </w:rPr>
              <w:t xml:space="preserve"> hydrate</w:t>
            </w:r>
          </w:p>
        </w:tc>
      </w:tr>
      <w:tr w:rsidR="00CE0616" w:rsidRPr="00FB7455" w14:paraId="7DB3CD37" w14:textId="77777777" w:rsidTr="00CE0270">
        <w:trPr>
          <w:jc w:val="center"/>
        </w:trPr>
        <w:tc>
          <w:tcPr>
            <w:tcW w:w="4104" w:type="dxa"/>
            <w:vAlign w:val="bottom"/>
          </w:tcPr>
          <w:p w14:paraId="3D1BF5BD" w14:textId="35285ABB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Isorhamnetin</w:t>
            </w:r>
          </w:p>
        </w:tc>
        <w:tc>
          <w:tcPr>
            <w:tcW w:w="4543" w:type="dxa"/>
            <w:vAlign w:val="bottom"/>
          </w:tcPr>
          <w:p w14:paraId="74AF21E2" w14:textId="66D85085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Syringic acid</w:t>
            </w:r>
          </w:p>
        </w:tc>
      </w:tr>
      <w:tr w:rsidR="00CE0616" w:rsidRPr="00FB7455" w14:paraId="2DDF89C0" w14:textId="77777777" w:rsidTr="00CE0270">
        <w:trPr>
          <w:jc w:val="center"/>
        </w:trPr>
        <w:tc>
          <w:tcPr>
            <w:tcW w:w="4104" w:type="dxa"/>
            <w:vAlign w:val="bottom"/>
          </w:tcPr>
          <w:p w14:paraId="4A48CF94" w14:textId="682D8E19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Kaempferol</w:t>
            </w:r>
          </w:p>
        </w:tc>
        <w:tc>
          <w:tcPr>
            <w:tcW w:w="4543" w:type="dxa"/>
            <w:vAlign w:val="bottom"/>
          </w:tcPr>
          <w:p w14:paraId="665033C9" w14:textId="1395E4AC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Taxifolin</w:t>
            </w:r>
          </w:p>
        </w:tc>
      </w:tr>
      <w:tr w:rsidR="00CE0616" w:rsidRPr="00FB7455" w14:paraId="39155CFB" w14:textId="77777777" w:rsidTr="00CE0270">
        <w:trPr>
          <w:jc w:val="center"/>
        </w:trPr>
        <w:tc>
          <w:tcPr>
            <w:tcW w:w="4104" w:type="dxa"/>
            <w:vAlign w:val="bottom"/>
          </w:tcPr>
          <w:p w14:paraId="2A724136" w14:textId="36B150F0" w:rsidR="00CE0616" w:rsidRPr="00FB7455" w:rsidRDefault="00CE0616" w:rsidP="004E5A75">
            <w:pPr>
              <w:pStyle w:val="MDPI42tablebody"/>
              <w:rPr>
                <w:bCs/>
              </w:rPr>
            </w:pPr>
            <w:proofErr w:type="spellStart"/>
            <w:r w:rsidRPr="00FB7455">
              <w:rPr>
                <w:bCs/>
              </w:rPr>
              <w:t>Keracyanin</w:t>
            </w:r>
            <w:proofErr w:type="spellEnd"/>
          </w:p>
        </w:tc>
        <w:tc>
          <w:tcPr>
            <w:tcW w:w="4543" w:type="dxa"/>
            <w:vAlign w:val="bottom"/>
          </w:tcPr>
          <w:p w14:paraId="7C3C8709" w14:textId="7872529A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  <w:i/>
              </w:rPr>
              <w:t>trans</w:t>
            </w:r>
            <w:r w:rsidRPr="00FB7455">
              <w:rPr>
                <w:bCs/>
              </w:rPr>
              <w:t>-Piceid</w:t>
            </w:r>
          </w:p>
        </w:tc>
      </w:tr>
      <w:tr w:rsidR="00CE0616" w:rsidRPr="00FB7455" w14:paraId="17F65CA2" w14:textId="77777777" w:rsidTr="00CE0270">
        <w:trPr>
          <w:jc w:val="center"/>
        </w:trPr>
        <w:tc>
          <w:tcPr>
            <w:tcW w:w="4104" w:type="dxa"/>
            <w:vAlign w:val="bottom"/>
          </w:tcPr>
          <w:p w14:paraId="66612092" w14:textId="4B7AEAB1" w:rsidR="00CE0616" w:rsidRPr="00FB7455" w:rsidRDefault="00CE0616" w:rsidP="004E5A75">
            <w:pPr>
              <w:pStyle w:val="MDPI42tablebody"/>
              <w:rPr>
                <w:bCs/>
              </w:rPr>
            </w:pPr>
            <w:r w:rsidRPr="00FB7455">
              <w:rPr>
                <w:bCs/>
              </w:rPr>
              <w:t>Luteolin-</w:t>
            </w:r>
            <w:proofErr w:type="spellStart"/>
            <w:r w:rsidRPr="00FB7455">
              <w:rPr>
                <w:bCs/>
              </w:rPr>
              <w:t>rutinoside</w:t>
            </w:r>
            <w:proofErr w:type="spellEnd"/>
          </w:p>
        </w:tc>
        <w:tc>
          <w:tcPr>
            <w:tcW w:w="4543" w:type="dxa"/>
            <w:vAlign w:val="bottom"/>
          </w:tcPr>
          <w:p w14:paraId="372B6CB6" w14:textId="54D7E005" w:rsidR="00CE0616" w:rsidRPr="00FB7455" w:rsidRDefault="00CE0616" w:rsidP="004E5A75">
            <w:pPr>
              <w:pStyle w:val="MDPI42tablebody"/>
              <w:rPr>
                <w:bCs/>
              </w:rPr>
            </w:pPr>
            <w:proofErr w:type="spellStart"/>
            <w:r w:rsidRPr="00FB7455">
              <w:rPr>
                <w:bCs/>
              </w:rPr>
              <w:t>Vanillic</w:t>
            </w:r>
            <w:proofErr w:type="spellEnd"/>
            <w:r w:rsidRPr="00FB7455">
              <w:rPr>
                <w:bCs/>
              </w:rPr>
              <w:t xml:space="preserve"> acid</w:t>
            </w:r>
          </w:p>
        </w:tc>
      </w:tr>
      <w:tr w:rsidR="00CE0616" w:rsidRPr="00FB7455" w14:paraId="547EF3E8" w14:textId="77777777" w:rsidTr="00CE0270">
        <w:trPr>
          <w:jc w:val="center"/>
        </w:trPr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2C638FDD" w14:textId="458A6A88" w:rsidR="00CE0616" w:rsidRPr="00FB7455" w:rsidRDefault="00CE0616" w:rsidP="00CE0270">
            <w:pPr>
              <w:pStyle w:val="MDPI42tablebody"/>
              <w:spacing w:after="60"/>
              <w:rPr>
                <w:bCs/>
              </w:rPr>
            </w:pPr>
            <w:r w:rsidRPr="00FB7455">
              <w:rPr>
                <w:bCs/>
              </w:rPr>
              <w:t>Malvidin 3,5-diglucoside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bottom"/>
          </w:tcPr>
          <w:p w14:paraId="0292CAE9" w14:textId="78BA063E" w:rsidR="00CE0616" w:rsidRPr="00FB7455" w:rsidRDefault="00CE0616" w:rsidP="00CE0270">
            <w:pPr>
              <w:pStyle w:val="MDPI42tablebody"/>
              <w:spacing w:after="60"/>
              <w:rPr>
                <w:bCs/>
              </w:rPr>
            </w:pPr>
            <w:proofErr w:type="spellStart"/>
            <w:r w:rsidRPr="00FB7455">
              <w:rPr>
                <w:bCs/>
              </w:rPr>
              <w:t>Viniferin</w:t>
            </w:r>
            <w:proofErr w:type="spellEnd"/>
          </w:p>
        </w:tc>
      </w:tr>
    </w:tbl>
    <w:p w14:paraId="3443322B" w14:textId="2C721A26" w:rsidR="003F4799" w:rsidRPr="00BC1EEF" w:rsidRDefault="003F4799" w:rsidP="003F4799">
      <w:pPr>
        <w:pStyle w:val="MDPI31text"/>
        <w:spacing w:after="60" w:line="240" w:lineRule="auto"/>
        <w:ind w:left="1559" w:right="1276" w:firstLine="0"/>
        <w:rPr>
          <w:b/>
          <w:bCs/>
          <w:szCs w:val="20"/>
        </w:rPr>
      </w:pPr>
    </w:p>
    <w:p w14:paraId="3061E272" w14:textId="7797F34C" w:rsidR="003F4799" w:rsidRPr="00BC1EEF" w:rsidRDefault="003F4799" w:rsidP="003F4799">
      <w:pPr>
        <w:pStyle w:val="MDPI31text"/>
        <w:spacing w:after="60" w:line="240" w:lineRule="auto"/>
        <w:ind w:left="1559" w:right="1276" w:firstLine="0"/>
        <w:rPr>
          <w:b/>
          <w:bCs/>
          <w:szCs w:val="20"/>
        </w:rPr>
      </w:pPr>
    </w:p>
    <w:p w14:paraId="1B5DA652" w14:textId="72C24711" w:rsidR="00374E10" w:rsidRPr="00BC1EEF" w:rsidRDefault="00374E10" w:rsidP="003F4799">
      <w:pPr>
        <w:pStyle w:val="MDPI31text"/>
        <w:spacing w:after="60" w:line="240" w:lineRule="auto"/>
        <w:ind w:left="1559" w:right="1276" w:firstLine="0"/>
        <w:rPr>
          <w:b/>
          <w:bCs/>
          <w:szCs w:val="20"/>
        </w:rPr>
      </w:pPr>
    </w:p>
    <w:p w14:paraId="222D489F" w14:textId="77777777" w:rsidR="00374E10" w:rsidRPr="00BC1EEF" w:rsidRDefault="00374E10" w:rsidP="003F4799">
      <w:pPr>
        <w:pStyle w:val="MDPI31text"/>
        <w:spacing w:after="60" w:line="240" w:lineRule="auto"/>
        <w:ind w:left="1559" w:right="1276" w:firstLine="0"/>
        <w:rPr>
          <w:b/>
          <w:bCs/>
          <w:szCs w:val="20"/>
        </w:rPr>
      </w:pPr>
    </w:p>
    <w:p w14:paraId="4BA3A584" w14:textId="74095E37" w:rsidR="003F4799" w:rsidRPr="00FB7455" w:rsidRDefault="003F4799" w:rsidP="00FB7455">
      <w:pPr>
        <w:pStyle w:val="MDPI31text"/>
        <w:tabs>
          <w:tab w:val="left" w:pos="8931"/>
        </w:tabs>
        <w:spacing w:after="60" w:line="240" w:lineRule="auto"/>
        <w:ind w:left="1559" w:right="1276" w:firstLine="0"/>
        <w:rPr>
          <w:bCs/>
          <w:szCs w:val="18"/>
        </w:rPr>
      </w:pPr>
      <w:r w:rsidRPr="00FB7455">
        <w:rPr>
          <w:b/>
          <w:bCs/>
          <w:szCs w:val="18"/>
        </w:rPr>
        <w:t xml:space="preserve">Table S2. </w:t>
      </w:r>
      <w:r w:rsidRPr="00FB7455">
        <w:rPr>
          <w:bCs/>
          <w:szCs w:val="18"/>
        </w:rPr>
        <w:t xml:space="preserve">Composition of the dried grape stems and stem extracts from </w:t>
      </w:r>
      <w:proofErr w:type="spellStart"/>
      <w:r w:rsidRPr="00FB7455">
        <w:rPr>
          <w:bCs/>
          <w:szCs w:val="18"/>
        </w:rPr>
        <w:t>Mazuelo</w:t>
      </w:r>
      <w:proofErr w:type="spellEnd"/>
      <w:r w:rsidRPr="00FB7455">
        <w:rPr>
          <w:bCs/>
          <w:szCs w:val="18"/>
        </w:rPr>
        <w:t xml:space="preserve"> grape variety (</w:t>
      </w:r>
      <w:proofErr w:type="spellStart"/>
      <w:r w:rsidRPr="00FB7455">
        <w:rPr>
          <w:bCs/>
          <w:i/>
          <w:szCs w:val="18"/>
        </w:rPr>
        <w:t>Vitis</w:t>
      </w:r>
      <w:proofErr w:type="spellEnd"/>
      <w:r w:rsidRPr="00FB7455">
        <w:rPr>
          <w:bCs/>
          <w:i/>
          <w:szCs w:val="18"/>
        </w:rPr>
        <w:t xml:space="preserve"> vinifera</w:t>
      </w:r>
      <w:r w:rsidRPr="00FB7455">
        <w:rPr>
          <w:bCs/>
          <w:szCs w:val="18"/>
        </w:rPr>
        <w:t xml:space="preserve"> L. cv. Carignan)</w:t>
      </w:r>
    </w:p>
    <w:tbl>
      <w:tblPr>
        <w:tblStyle w:val="Tablaconcuadrcula"/>
        <w:tblpPr w:leftFromText="180" w:rightFromText="180" w:vertAnchor="text" w:tblpX="1550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2972"/>
        <w:gridCol w:w="1843"/>
        <w:gridCol w:w="2551"/>
      </w:tblGrid>
      <w:tr w:rsidR="003F4799" w:rsidRPr="00374E10" w14:paraId="555985E8" w14:textId="77777777" w:rsidTr="00B55A5A">
        <w:trPr>
          <w:trHeight w:val="313"/>
        </w:trPr>
        <w:tc>
          <w:tcPr>
            <w:tcW w:w="297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0118CCC" w14:textId="77777777" w:rsidR="003F4799" w:rsidRPr="00374E10" w:rsidRDefault="003F4799" w:rsidP="00374E10">
            <w:pPr>
              <w:spacing w:before="120" w:after="60" w:line="240" w:lineRule="auto"/>
              <w:jc w:val="center"/>
              <w:rPr>
                <w:b/>
                <w:bCs/>
                <w:color w:val="auto"/>
                <w:szCs w:val="18"/>
              </w:rPr>
            </w:pPr>
            <w:r w:rsidRPr="00374E10">
              <w:rPr>
                <w:b/>
                <w:bCs/>
                <w:color w:val="auto"/>
                <w:szCs w:val="18"/>
              </w:rPr>
              <w:t>Proximate composition</w:t>
            </w:r>
          </w:p>
          <w:p w14:paraId="1C5351C4" w14:textId="77777777" w:rsidR="003F4799" w:rsidRPr="00374E10" w:rsidRDefault="003F4799" w:rsidP="00B55A5A">
            <w:pPr>
              <w:spacing w:line="480" w:lineRule="auto"/>
              <w:jc w:val="center"/>
              <w:rPr>
                <w:bCs/>
                <w:color w:val="auto"/>
                <w:szCs w:val="18"/>
              </w:rPr>
            </w:pPr>
            <w:r w:rsidRPr="00374E10">
              <w:rPr>
                <w:bCs/>
                <w:color w:val="auto"/>
                <w:szCs w:val="18"/>
              </w:rPr>
              <w:t xml:space="preserve">(g/100 g </w:t>
            </w:r>
            <w:r w:rsidRPr="00374E10">
              <w:rPr>
                <w:bCs/>
                <w:iCs/>
                <w:color w:val="auto"/>
                <w:szCs w:val="18"/>
              </w:rPr>
              <w:t>dry material</w:t>
            </w:r>
            <w:r w:rsidRPr="00374E10">
              <w:rPr>
                <w:bCs/>
                <w:color w:val="auto"/>
                <w:szCs w:val="18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3749602" w14:textId="77777777" w:rsidR="003F4799" w:rsidRPr="00374E10" w:rsidRDefault="003F4799" w:rsidP="00B55A5A">
            <w:pPr>
              <w:spacing w:line="480" w:lineRule="auto"/>
              <w:jc w:val="center"/>
              <w:rPr>
                <w:b/>
                <w:bCs/>
                <w:color w:val="auto"/>
                <w:szCs w:val="18"/>
              </w:rPr>
            </w:pPr>
            <w:proofErr w:type="spellStart"/>
            <w:r w:rsidRPr="00374E10">
              <w:rPr>
                <w:b/>
                <w:bCs/>
                <w:color w:val="auto"/>
                <w:szCs w:val="18"/>
              </w:rPr>
              <w:t>Mazuelo</w:t>
            </w:r>
            <w:proofErr w:type="spellEnd"/>
            <w:r w:rsidRPr="00374E10">
              <w:rPr>
                <w:b/>
                <w:bCs/>
                <w:color w:val="auto"/>
                <w:szCs w:val="18"/>
              </w:rPr>
              <w:t xml:space="preserve"> stem</w:t>
            </w:r>
          </w:p>
        </w:tc>
        <w:tc>
          <w:tcPr>
            <w:tcW w:w="255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AABA157" w14:textId="77777777" w:rsidR="003F4799" w:rsidRPr="00374E10" w:rsidRDefault="003F4799" w:rsidP="00B55A5A">
            <w:pPr>
              <w:spacing w:line="480" w:lineRule="auto"/>
              <w:jc w:val="center"/>
              <w:rPr>
                <w:b/>
                <w:bCs/>
                <w:color w:val="auto"/>
                <w:szCs w:val="18"/>
              </w:rPr>
            </w:pPr>
            <w:proofErr w:type="spellStart"/>
            <w:r w:rsidRPr="00374E10">
              <w:rPr>
                <w:b/>
                <w:bCs/>
                <w:color w:val="auto"/>
                <w:szCs w:val="18"/>
              </w:rPr>
              <w:t>Mazuelo</w:t>
            </w:r>
            <w:proofErr w:type="spellEnd"/>
            <w:r w:rsidRPr="00374E10">
              <w:rPr>
                <w:b/>
                <w:bCs/>
                <w:color w:val="auto"/>
                <w:szCs w:val="18"/>
              </w:rPr>
              <w:t xml:space="preserve"> stem extract</w:t>
            </w:r>
          </w:p>
        </w:tc>
      </w:tr>
      <w:tr w:rsidR="003F4799" w:rsidRPr="00374E10" w14:paraId="2D7E8E44" w14:textId="77777777" w:rsidTr="00B55A5A">
        <w:trPr>
          <w:trHeight w:val="313"/>
        </w:trPr>
        <w:tc>
          <w:tcPr>
            <w:tcW w:w="297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673066C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Ash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5CA41B6" w14:textId="77777777" w:rsidR="003F4799" w:rsidRPr="00374E10" w:rsidRDefault="003F4799" w:rsidP="00B55A5A">
            <w:pPr>
              <w:spacing w:line="240" w:lineRule="auto"/>
              <w:jc w:val="center"/>
              <w:rPr>
                <w:b/>
                <w:bCs/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1.85 ± 0.14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B47D336" w14:textId="77777777" w:rsidR="003F4799" w:rsidRPr="00374E10" w:rsidRDefault="003F4799" w:rsidP="00B55A5A">
            <w:pPr>
              <w:spacing w:line="240" w:lineRule="auto"/>
              <w:jc w:val="center"/>
              <w:rPr>
                <w:b/>
                <w:bCs/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3.14 ± 0.25</w:t>
            </w:r>
          </w:p>
        </w:tc>
      </w:tr>
      <w:tr w:rsidR="003F4799" w:rsidRPr="00374E10" w14:paraId="6FB64EFA" w14:textId="77777777" w:rsidTr="00B55A5A">
        <w:trPr>
          <w:trHeight w:val="313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24A3C3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Cellulose/Glucan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AB609B" w14:textId="77777777" w:rsidR="003F4799" w:rsidRPr="00374E10" w:rsidRDefault="003F4799" w:rsidP="00B55A5A">
            <w:pPr>
              <w:spacing w:line="240" w:lineRule="auto"/>
              <w:jc w:val="center"/>
              <w:rPr>
                <w:b/>
                <w:bCs/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31.34 ± 0.10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A60263" w14:textId="77777777" w:rsidR="003F4799" w:rsidRPr="00374E10" w:rsidRDefault="003F4799" w:rsidP="00B55A5A">
            <w:pPr>
              <w:spacing w:line="240" w:lineRule="auto"/>
              <w:jc w:val="center"/>
              <w:rPr>
                <w:b/>
                <w:bCs/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19.68 ± 0.27</w:t>
            </w:r>
          </w:p>
        </w:tc>
      </w:tr>
      <w:tr w:rsidR="003F4799" w:rsidRPr="00374E10" w14:paraId="64A563ED" w14:textId="77777777" w:rsidTr="00B55A5A">
        <w:trPr>
          <w:trHeight w:val="313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00C3CF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Hemicellulose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64A0C1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16.37 ± 0.24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781408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n.d.</w:t>
            </w:r>
          </w:p>
        </w:tc>
      </w:tr>
      <w:tr w:rsidR="003F4799" w:rsidRPr="00374E10" w14:paraId="4EFF7218" w14:textId="77777777" w:rsidTr="00B55A5A">
        <w:trPr>
          <w:trHeight w:val="313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75FF4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bCs/>
                <w:color w:val="auto"/>
                <w:szCs w:val="18"/>
              </w:rPr>
              <w:t>Lignin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28D9DA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32.84 ± 0.22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3A3B3D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30.62 ± 0.47</w:t>
            </w:r>
          </w:p>
        </w:tc>
      </w:tr>
      <w:tr w:rsidR="003F4799" w:rsidRPr="00374E10" w14:paraId="467080CA" w14:textId="77777777" w:rsidTr="00B55A5A">
        <w:trPr>
          <w:trHeight w:val="313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8E1E1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Protein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8E4271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5.72 ± 0.16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7AA64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2.67 ± 0.07</w:t>
            </w:r>
          </w:p>
        </w:tc>
      </w:tr>
      <w:tr w:rsidR="003F4799" w:rsidRPr="00374E10" w14:paraId="7E535BAC" w14:textId="77777777" w:rsidTr="00B55A5A">
        <w:trPr>
          <w:trHeight w:val="313"/>
        </w:trPr>
        <w:tc>
          <w:tcPr>
            <w:tcW w:w="297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509A3A4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Fat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DD7B7C0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0.45 ± 0.01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7B10D2E" w14:textId="77777777" w:rsidR="003F4799" w:rsidRPr="00374E10" w:rsidRDefault="003F4799" w:rsidP="00B55A5A">
            <w:pPr>
              <w:spacing w:line="240" w:lineRule="auto"/>
              <w:jc w:val="center"/>
              <w:rPr>
                <w:color w:val="auto"/>
                <w:szCs w:val="18"/>
              </w:rPr>
            </w:pPr>
            <w:r w:rsidRPr="00374E10">
              <w:rPr>
                <w:color w:val="auto"/>
                <w:szCs w:val="18"/>
              </w:rPr>
              <w:t>n.d.</w:t>
            </w:r>
          </w:p>
        </w:tc>
      </w:tr>
    </w:tbl>
    <w:p w14:paraId="5EF0DE01" w14:textId="77777777" w:rsidR="003F4799" w:rsidRPr="00FB7455" w:rsidRDefault="003F4799" w:rsidP="003F4799">
      <w:pPr>
        <w:pStyle w:val="MDPI42tablebody"/>
        <w:spacing w:line="480" w:lineRule="auto"/>
        <w:ind w:left="1560"/>
        <w:jc w:val="left"/>
        <w:rPr>
          <w:sz w:val="18"/>
          <w:szCs w:val="16"/>
        </w:rPr>
      </w:pPr>
      <w:r w:rsidRPr="003F4799">
        <w:rPr>
          <w:sz w:val="18"/>
          <w:szCs w:val="18"/>
        </w:rPr>
        <w:br w:type="textWrapping" w:clear="all"/>
      </w:r>
      <w:r w:rsidRPr="00FB7455">
        <w:rPr>
          <w:sz w:val="18"/>
          <w:szCs w:val="16"/>
        </w:rPr>
        <w:t>n.d.: not detected</w:t>
      </w:r>
    </w:p>
    <w:p w14:paraId="6DE4DC67" w14:textId="77777777" w:rsidR="003F4799" w:rsidRDefault="003F4799" w:rsidP="004E5A75">
      <w:pPr>
        <w:pStyle w:val="MDPI41tablecaption"/>
        <w:rPr>
          <w:rFonts w:cs="Times New Roman"/>
          <w:b/>
          <w:szCs w:val="18"/>
        </w:rPr>
      </w:pPr>
    </w:p>
    <w:p w14:paraId="0B4CEB59" w14:textId="77777777" w:rsidR="003F4799" w:rsidRDefault="003F4799" w:rsidP="004E5A75">
      <w:pPr>
        <w:pStyle w:val="MDPI41tablecaption"/>
        <w:rPr>
          <w:rFonts w:cs="Times New Roman"/>
          <w:b/>
          <w:szCs w:val="18"/>
        </w:rPr>
      </w:pPr>
    </w:p>
    <w:p w14:paraId="38785309" w14:textId="70A03664" w:rsidR="00481C7B" w:rsidRPr="00374E10" w:rsidRDefault="00CE0616" w:rsidP="00374E10">
      <w:pPr>
        <w:pStyle w:val="MDPI41tablecaption"/>
        <w:ind w:left="142"/>
        <w:rPr>
          <w:rFonts w:cs="Times New Roman"/>
          <w:sz w:val="20"/>
          <w:szCs w:val="18"/>
        </w:rPr>
      </w:pPr>
      <w:r w:rsidRPr="00374E10">
        <w:rPr>
          <w:rFonts w:cs="Times New Roman"/>
          <w:b/>
          <w:sz w:val="20"/>
          <w:szCs w:val="18"/>
        </w:rPr>
        <w:lastRenderedPageBreak/>
        <w:t>Table S3</w:t>
      </w:r>
      <w:r w:rsidRPr="00374E10">
        <w:rPr>
          <w:rFonts w:cs="Times New Roman"/>
          <w:sz w:val="20"/>
          <w:szCs w:val="18"/>
        </w:rPr>
        <w:t xml:space="preserve">. </w:t>
      </w:r>
      <w:r w:rsidR="004E5A75" w:rsidRPr="00374E10">
        <w:rPr>
          <w:rFonts w:cs="Times New Roman"/>
          <w:sz w:val="20"/>
          <w:szCs w:val="18"/>
        </w:rPr>
        <w:t>Quanti</w:t>
      </w:r>
      <w:r w:rsidR="00DB7617" w:rsidRPr="00374E10">
        <w:rPr>
          <w:rFonts w:cs="Times New Roman"/>
          <w:sz w:val="20"/>
          <w:szCs w:val="18"/>
        </w:rPr>
        <w:t>fication</w:t>
      </w:r>
      <w:r w:rsidR="004E5A75" w:rsidRPr="00374E10">
        <w:rPr>
          <w:rFonts w:cs="Times New Roman"/>
          <w:sz w:val="20"/>
          <w:szCs w:val="18"/>
        </w:rPr>
        <w:t xml:space="preserve"> of i</w:t>
      </w:r>
      <w:r w:rsidR="00052628" w:rsidRPr="00374E10">
        <w:rPr>
          <w:rFonts w:cs="Times New Roman"/>
          <w:sz w:val="20"/>
          <w:szCs w:val="18"/>
        </w:rPr>
        <w:t xml:space="preserve">ndividual </w:t>
      </w:r>
      <w:r w:rsidR="00052628" w:rsidRPr="00374E10">
        <w:rPr>
          <w:sz w:val="20"/>
        </w:rPr>
        <w:t>p</w:t>
      </w:r>
      <w:r w:rsidRPr="00374E10">
        <w:rPr>
          <w:sz w:val="20"/>
        </w:rPr>
        <w:t>olyphenol</w:t>
      </w:r>
      <w:r w:rsidR="00052628" w:rsidRPr="00374E10">
        <w:rPr>
          <w:sz w:val="20"/>
        </w:rPr>
        <w:t>s</w:t>
      </w:r>
      <w:r w:rsidRPr="00374E10">
        <w:rPr>
          <w:rFonts w:cs="Times New Roman"/>
          <w:sz w:val="20"/>
          <w:szCs w:val="18"/>
        </w:rPr>
        <w:t xml:space="preserve"> </w:t>
      </w:r>
      <w:r w:rsidR="00052628" w:rsidRPr="00374E10">
        <w:rPr>
          <w:rFonts w:cs="Times New Roman"/>
          <w:sz w:val="20"/>
          <w:szCs w:val="18"/>
        </w:rPr>
        <w:t xml:space="preserve">in </w:t>
      </w:r>
      <w:r w:rsidR="004E5A75" w:rsidRPr="00374E10">
        <w:rPr>
          <w:rFonts w:cs="Times New Roman"/>
          <w:sz w:val="20"/>
          <w:szCs w:val="18"/>
        </w:rPr>
        <w:t>winemaking samples in mg/L</w:t>
      </w:r>
    </w:p>
    <w:tbl>
      <w:tblPr>
        <w:tblStyle w:val="Tablaconcuadrcula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960"/>
        <w:gridCol w:w="1446"/>
        <w:gridCol w:w="1446"/>
        <w:gridCol w:w="1446"/>
        <w:gridCol w:w="1446"/>
        <w:gridCol w:w="1446"/>
      </w:tblGrid>
      <w:tr w:rsidR="00052628" w:rsidRPr="00374E10" w14:paraId="14F0D529" w14:textId="77777777" w:rsidTr="00374E10">
        <w:trPr>
          <w:trHeight w:val="272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616BB6" w14:textId="2F4E206F" w:rsidR="00052628" w:rsidRPr="00374E10" w:rsidRDefault="00052628" w:rsidP="00374E10">
            <w:pPr>
              <w:pStyle w:val="MDPI42tablebody"/>
              <w:spacing w:line="240" w:lineRule="auto"/>
              <w:rPr>
                <w:b/>
                <w:szCs w:val="18"/>
              </w:rPr>
            </w:pPr>
            <w:r w:rsidRPr="00374E10">
              <w:rPr>
                <w:b/>
                <w:szCs w:val="18"/>
              </w:rPr>
              <w:t>Standard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6E08B2" w14:textId="3000B687" w:rsidR="00052628" w:rsidRPr="00374E10" w:rsidRDefault="00052628" w:rsidP="002C00A7">
            <w:pPr>
              <w:pStyle w:val="MDPI42tablebody"/>
              <w:spacing w:line="240" w:lineRule="auto"/>
              <w:rPr>
                <w:b/>
                <w:szCs w:val="18"/>
              </w:rPr>
            </w:pPr>
            <w:r w:rsidRPr="00374E10">
              <w:rPr>
                <w:b/>
                <w:szCs w:val="18"/>
              </w:rPr>
              <w:t>Stage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507DF1" w14:textId="77777777" w:rsidR="00052628" w:rsidRPr="00374E10" w:rsidRDefault="00052628" w:rsidP="002C00A7">
            <w:pPr>
              <w:pStyle w:val="MDPI42tablebody"/>
              <w:spacing w:line="240" w:lineRule="auto"/>
              <w:rPr>
                <w:b/>
                <w:szCs w:val="18"/>
              </w:rPr>
            </w:pPr>
            <w:r w:rsidRPr="00374E10">
              <w:rPr>
                <w:b/>
                <w:szCs w:val="18"/>
              </w:rPr>
              <w:t>PC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FC41E5" w14:textId="77777777" w:rsidR="00052628" w:rsidRPr="00374E10" w:rsidRDefault="00052628" w:rsidP="002C00A7">
            <w:pPr>
              <w:pStyle w:val="MDPI42tablebody"/>
              <w:spacing w:line="240" w:lineRule="auto"/>
              <w:rPr>
                <w:b/>
                <w:szCs w:val="18"/>
              </w:rPr>
            </w:pPr>
            <w:r w:rsidRPr="00374E10">
              <w:rPr>
                <w:b/>
                <w:szCs w:val="18"/>
              </w:rPr>
              <w:t>NC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78C2A4" w14:textId="77777777" w:rsidR="00052628" w:rsidRPr="00374E10" w:rsidRDefault="00052628" w:rsidP="002C00A7">
            <w:pPr>
              <w:pStyle w:val="MDPI42tablebody"/>
              <w:spacing w:line="240" w:lineRule="auto"/>
              <w:rPr>
                <w:b/>
                <w:szCs w:val="18"/>
              </w:rPr>
            </w:pPr>
            <w:r w:rsidRPr="00374E10">
              <w:rPr>
                <w:b/>
                <w:szCs w:val="18"/>
              </w:rPr>
              <w:t>ME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CFB5E4" w14:textId="77777777" w:rsidR="00052628" w:rsidRPr="00374E10" w:rsidRDefault="00052628" w:rsidP="002C00A7">
            <w:pPr>
              <w:pStyle w:val="MDPI42tablebody"/>
              <w:spacing w:line="240" w:lineRule="auto"/>
              <w:rPr>
                <w:b/>
                <w:szCs w:val="18"/>
              </w:rPr>
            </w:pPr>
            <w:r w:rsidRPr="00374E10">
              <w:rPr>
                <w:b/>
                <w:szCs w:val="18"/>
              </w:rPr>
              <w:t>MM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81BB08" w14:textId="77777777" w:rsidR="00052628" w:rsidRPr="00374E10" w:rsidRDefault="00052628" w:rsidP="002C00A7">
            <w:pPr>
              <w:pStyle w:val="MDPI42tablebody"/>
              <w:spacing w:line="240" w:lineRule="auto"/>
              <w:rPr>
                <w:b/>
                <w:szCs w:val="18"/>
              </w:rPr>
            </w:pPr>
            <w:r w:rsidRPr="00374E10">
              <w:rPr>
                <w:b/>
                <w:szCs w:val="18"/>
              </w:rPr>
              <w:t>MS</w:t>
            </w:r>
          </w:p>
        </w:tc>
      </w:tr>
      <w:tr w:rsidR="006C7716" w:rsidRPr="00374E10" w14:paraId="22537B8E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62E42A9" w14:textId="597D31DA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Protocatechuic acid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C03325" w14:textId="6339D80F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060E" w14:textId="40EF921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2B58" w14:textId="41DDC89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83CC" w14:textId="28B665A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DEC1" w14:textId="7900465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9469" w14:textId="0C8BFF7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236D5414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77B7B05A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F56E9F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A267" w14:textId="1017F51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1.94 ± 0.23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1EB0" w14:textId="58AE3C9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1.13 ± 0.06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148A" w14:textId="7F95CCF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1.99 ± 0.34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BA5E" w14:textId="24F7A79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1.91 ± 0.22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5F86" w14:textId="76D3AB6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1.96 ± 0.08</w:t>
            </w:r>
          </w:p>
        </w:tc>
      </w:tr>
      <w:tr w:rsidR="006C7716" w:rsidRPr="00374E10" w14:paraId="08C6A517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343F36D1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26C890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37F3" w14:textId="5C8FD00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2.09 ± 0.29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0DAA" w14:textId="3362179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1.09 ± 0.07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08EE" w14:textId="326E7F1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5898" w14:textId="4966F50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2.38 ± 0.25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99A9" w14:textId="02E8183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1.85 ± 0.31</w:t>
            </w:r>
          </w:p>
        </w:tc>
      </w:tr>
      <w:tr w:rsidR="006C7716" w:rsidRPr="00374E10" w14:paraId="784860B7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7B81BC7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D0E80E4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930E" w14:textId="0D2D439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0.83 ± 0.08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4D09" w14:textId="0023E09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2.86 ± 0.37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4104" w14:textId="787CA55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2.53 ± 0.36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FBC3" w14:textId="608FF2B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2.96 ± 0.32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425B" w14:textId="096C80B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1.61 ± 0.37</w:t>
            </w:r>
          </w:p>
        </w:tc>
      </w:tr>
      <w:tr w:rsidR="006C7716" w:rsidRPr="00374E10" w14:paraId="3FE9F5E9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0BB34D83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B145F8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41D1" w14:textId="024F311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2.81 ± 0.10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B92F" w14:textId="172D17A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2.97 ± 0.16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F3C6" w14:textId="7175BF6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D981" w14:textId="192F1B8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2.27 ± 0.91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1D54" w14:textId="2FAF6C9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5F89F3E6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0D8BAFAF" w14:textId="36435A2B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proofErr w:type="spellStart"/>
            <w:r w:rsidRPr="00374E10">
              <w:rPr>
                <w:bCs/>
              </w:rPr>
              <w:t>Caftaric</w:t>
            </w:r>
            <w:proofErr w:type="spellEnd"/>
            <w:r w:rsidRPr="00374E10">
              <w:rPr>
                <w:bCs/>
              </w:rPr>
              <w:t xml:space="preserve"> acid</w:t>
            </w:r>
          </w:p>
        </w:tc>
        <w:tc>
          <w:tcPr>
            <w:tcW w:w="960" w:type="dxa"/>
            <w:noWrap/>
            <w:vAlign w:val="center"/>
            <w:hideMark/>
          </w:tcPr>
          <w:p w14:paraId="42DF7D5A" w14:textId="3F38F1AE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C90E" w14:textId="598A3F7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38.16 ± 1.83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CC05" w14:textId="52FF78F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20.87 ± 2.51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9C8D" w14:textId="1C3DDD6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22.06 ± 2.72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CB06" w14:textId="3809C62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22.92 ± 0.81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A47C" w14:textId="3159826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21.82 ± 0.48</w:t>
            </w:r>
          </w:p>
        </w:tc>
      </w:tr>
      <w:tr w:rsidR="006C7716" w:rsidRPr="00374E10" w14:paraId="6EE9E5D2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A5EAA00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CACADF9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F97A" w14:textId="038E2E8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37.94 ± 3.36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BD3A" w14:textId="53522B1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20.87 ± 1.39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0FF2" w14:textId="3D03946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23.42 ± 6.57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8164" w14:textId="18D60E6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23.16 ± 8.02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C84C" w14:textId="1C09BE5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16.98 ± 1.65</w:t>
            </w:r>
          </w:p>
        </w:tc>
      </w:tr>
      <w:tr w:rsidR="006C7716" w:rsidRPr="00374E10" w14:paraId="2F9D56E5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E229DCE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10CACB2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FFBB" w14:textId="4D0EAF8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33.11 ± 1.04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8553" w14:textId="7376BF0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19.58 ± 15.25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7334" w14:textId="011AAA2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27.85 ± 1.75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789E" w14:textId="2E3087A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30.48 ± 1.95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205E" w14:textId="2BE24C6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29.58 ± 1.85</w:t>
            </w:r>
          </w:p>
        </w:tc>
      </w:tr>
      <w:tr w:rsidR="006C7716" w:rsidRPr="00374E10" w14:paraId="7F10C897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21B5121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D0432D6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F909" w14:textId="7772E28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29.94 ± 1.42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9812" w14:textId="75AD7D3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29.24 ± 3.8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E785" w14:textId="12D63D0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30.67 ± 1.58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B241" w14:textId="07EADB3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32.09 ± 2.81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58C0" w14:textId="6CE6E8F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30.12 ± 3.64</w:t>
            </w:r>
          </w:p>
        </w:tc>
      </w:tr>
      <w:tr w:rsidR="006C7716" w:rsidRPr="00374E10" w14:paraId="5757FF3F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1EC3906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5471E0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57EC" w14:textId="2D57271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34.89 ± 3.36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BF64" w14:textId="377F0CF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26.58 ± 3.03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442F" w14:textId="2332FD7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25.07 ± 1.87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8548" w14:textId="6F46973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25.14 ± 2.58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FC90" w14:textId="67466C1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26.79 ± 2.7</w:t>
            </w:r>
            <w:r w:rsidR="007978CF" w:rsidRPr="00374E10">
              <w:t>0</w:t>
            </w:r>
          </w:p>
        </w:tc>
      </w:tr>
      <w:tr w:rsidR="006C7716" w:rsidRPr="00374E10" w14:paraId="40AEE913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65E7F30B" w14:textId="0D820F4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Chlorogenic acid</w:t>
            </w:r>
          </w:p>
        </w:tc>
        <w:tc>
          <w:tcPr>
            <w:tcW w:w="960" w:type="dxa"/>
            <w:noWrap/>
            <w:vAlign w:val="center"/>
            <w:hideMark/>
          </w:tcPr>
          <w:p w14:paraId="0E63E110" w14:textId="304B1F55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E427" w14:textId="51A94F5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5.57 ± 0.39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6EA2" w14:textId="35570B7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4.88 ± 0.33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F4BF" w14:textId="7EAA2CD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4.77 ± 0.15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308E" w14:textId="48F092C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5.18 ± 0.51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AA73" w14:textId="3E9CFDE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4.95 ± 0.19</w:t>
            </w:r>
          </w:p>
        </w:tc>
      </w:tr>
      <w:tr w:rsidR="006C7716" w:rsidRPr="00374E10" w14:paraId="6668D5C2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1305BF1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743DE75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E0EE" w14:textId="3F55471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6.53 ± 0.40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DAA" w14:textId="577E559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5.83 ± 0.26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7F7B" w14:textId="1EBCFD4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6.90 ± 0.22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5AA9" w14:textId="3CE9900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6.6</w:t>
            </w:r>
            <w:r w:rsidR="007978CF" w:rsidRPr="00374E10">
              <w:t>0</w:t>
            </w:r>
            <w:r w:rsidRPr="00374E10">
              <w:t xml:space="preserve"> ± 0.28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0274" w14:textId="7FC112A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6.61 ± 0.31</w:t>
            </w:r>
          </w:p>
        </w:tc>
      </w:tr>
      <w:tr w:rsidR="006C7716" w:rsidRPr="00374E10" w14:paraId="7013F0F3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5EDD6777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ED720F6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6A50" w14:textId="25BE369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8.71 ± 0.18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5D1A" w14:textId="020BE4E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7.72 ± 0.48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605A" w14:textId="7CB95D5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7.46 ± 1.13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0F1F" w14:textId="34955DB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8.92 ± 0.65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FB77" w14:textId="57BFD72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8.04 ± 1.01</w:t>
            </w:r>
          </w:p>
        </w:tc>
      </w:tr>
      <w:tr w:rsidR="006C7716" w:rsidRPr="00374E10" w14:paraId="01C6531C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80F899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1F6F9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54CB" w14:textId="331B749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10.44 ± 0.30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AE28" w14:textId="0DB2C85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11.05 ± 1.10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4080" w14:textId="1500574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9.93 ± 0.45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2DAA" w14:textId="6B68854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11.05 ± 0.71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B152" w14:textId="114378E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9.83 ± 0.39</w:t>
            </w:r>
          </w:p>
        </w:tc>
      </w:tr>
      <w:tr w:rsidR="006C7716" w:rsidRPr="00374E10" w14:paraId="7586C159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306F151E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089DF5E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DDDC" w14:textId="189ADC0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9.82 ± 0.35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0A0E" w14:textId="34D86F7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8.94 ± 0.49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959" w14:textId="2BA5D41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8.66 ± 0.38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495C" w14:textId="1391EB0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9.15 ± 0.73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3C58" w14:textId="54E0E8C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8.61 ± 0.75</w:t>
            </w:r>
          </w:p>
        </w:tc>
      </w:tr>
      <w:tr w:rsidR="006C7716" w:rsidRPr="00374E10" w14:paraId="023894F6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4DB47B2D" w14:textId="612B71C8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Ga</w:t>
            </w:r>
            <w:r w:rsidR="007978CF" w:rsidRPr="00374E10">
              <w:rPr>
                <w:bCs/>
              </w:rPr>
              <w:t>l</w:t>
            </w:r>
            <w:r w:rsidRPr="00374E10">
              <w:rPr>
                <w:bCs/>
              </w:rPr>
              <w:t>lic acid</w:t>
            </w:r>
          </w:p>
        </w:tc>
        <w:tc>
          <w:tcPr>
            <w:tcW w:w="960" w:type="dxa"/>
            <w:noWrap/>
            <w:vAlign w:val="center"/>
            <w:hideMark/>
          </w:tcPr>
          <w:p w14:paraId="1FE65354" w14:textId="1483F389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7928" w14:textId="5B4E9BF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E3D9" w14:textId="2AE3938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E062" w14:textId="2A7AD29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06AB" w14:textId="0289B2D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7349" w14:textId="3B262D5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23198140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FB758E3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7D9ED29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0F92" w14:textId="40011C8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6.69 ± 1.27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0710" w14:textId="1541A15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5.55 ± 0.18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E566" w14:textId="4AF0E45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7.86 ± 0.54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6C2D" w14:textId="35A1E6F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10.84 ± 1.86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9FF7" w14:textId="77F1FD9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8.82 ± 1.66</w:t>
            </w:r>
          </w:p>
        </w:tc>
      </w:tr>
      <w:tr w:rsidR="006C7716" w:rsidRPr="00374E10" w14:paraId="59B6B8C0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48048C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8748335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79B2" w14:textId="753D84A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28.41 ± 0.58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7BA7" w14:textId="15CB745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19.59 ± 0.72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9547" w14:textId="2AC7BA9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29.99 ± 1.52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95F1" w14:textId="3696CD4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31.53 ± 2.54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0D87" w14:textId="40E7051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28.18 ± 2.95</w:t>
            </w:r>
          </w:p>
        </w:tc>
      </w:tr>
      <w:tr w:rsidR="006C7716" w:rsidRPr="00374E10" w14:paraId="32F5CCB8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51DA8D3E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8696827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77D6" w14:textId="64A4C97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31.31 ± 0.79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1425" w14:textId="0779AF9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26.16 ± 3.02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D39E" w14:textId="534CC1A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37.30 ± 1.58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17C2" w14:textId="69AC5DD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41.28 ± 3.76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52A2" w14:textId="1EF5F80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36.62 ± 2</w:t>
            </w:r>
            <w:r w:rsidR="007978CF" w:rsidRPr="00374E10">
              <w:t>.00</w:t>
            </w:r>
          </w:p>
        </w:tc>
      </w:tr>
      <w:tr w:rsidR="006C7716" w:rsidRPr="00374E10" w14:paraId="6E1D867A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ABB8DB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8380A95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C7F4" w14:textId="1CBE496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47.04 ± 0.26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9C9B" w14:textId="0BB73AA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38.25 ± 2.16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AC4A" w14:textId="3AA5541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0.26 ± 0.07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85C0" w14:textId="2EAB20B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10.88 ± 10.48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DBC2" w14:textId="3C98F44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21.8 ± 22.65</w:t>
            </w:r>
          </w:p>
        </w:tc>
      </w:tr>
      <w:tr w:rsidR="006C7716" w:rsidRPr="00374E10" w14:paraId="2E576D4E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7DBCF0D3" w14:textId="7EE428F8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 xml:space="preserve">(+)-Catechin </w:t>
            </w:r>
          </w:p>
        </w:tc>
        <w:tc>
          <w:tcPr>
            <w:tcW w:w="960" w:type="dxa"/>
            <w:noWrap/>
            <w:vAlign w:val="center"/>
            <w:hideMark/>
          </w:tcPr>
          <w:p w14:paraId="546FCE41" w14:textId="0ED9BF05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7A57" w14:textId="32FCD56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9.96 ± 0.12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3691" w14:textId="77E5919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9.70 ± 0.48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4625" w14:textId="08BA841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10.59 ± 0.16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E1BE" w14:textId="739B798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11.41 ± 0.64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09DF" w14:textId="0D6886D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10.08 ± 0.06</w:t>
            </w:r>
          </w:p>
        </w:tc>
      </w:tr>
      <w:tr w:rsidR="006C7716" w:rsidRPr="00374E10" w14:paraId="7FF065A0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B091323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63022B2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DF9B" w14:textId="2EE9CA2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9.05 ± 2.03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0816" w14:textId="34E9F04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8.88 ± 1.20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1878" w14:textId="0653121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9.46 ± 0.76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A3AF" w14:textId="1DBDF04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11.1 ± 1.44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6696" w14:textId="75B717C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8.65 ± 0.15</w:t>
            </w:r>
          </w:p>
        </w:tc>
      </w:tr>
      <w:tr w:rsidR="006C7716" w:rsidRPr="00374E10" w14:paraId="57DE534B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477A2DC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CAFB5F4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17ED" w14:textId="4289B2B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25.16 ± 1.19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A11C" w14:textId="3EEC64E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22.21 ± 1.59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89FC" w14:textId="71A022E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26.22 ± 0.86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6816" w14:textId="76CB5CB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29.86 ± 1.71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B7CF" w14:textId="1C05744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25.06 ± 1.11</w:t>
            </w:r>
          </w:p>
        </w:tc>
      </w:tr>
      <w:tr w:rsidR="006C7716" w:rsidRPr="00374E10" w14:paraId="1C096425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072E5A69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84F32C8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E4D2" w14:textId="14F9028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27.69 ± 0.87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0EAD" w14:textId="6E24AEE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24.24 ± 0.48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A24" w14:textId="3AA63F9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28.17 ± 1.73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6202" w14:textId="1181D87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30.38 ± 0.62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B2C7" w14:textId="146C631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24.02 ± 0.66</w:t>
            </w:r>
          </w:p>
        </w:tc>
      </w:tr>
      <w:tr w:rsidR="006C7716" w:rsidRPr="00374E10" w14:paraId="6263D5D8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F53AFFE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89360DE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E3F7" w14:textId="2EC7FC0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27.63 ± 0.34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40DD" w14:textId="4F9B1A0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21.45 ± 1.51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38B9" w14:textId="014BD43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23.03 ± 1.32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F443" w14:textId="5C06387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24.97 ± 0.73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8D20" w14:textId="6470ADA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20.53 ± 0.62</w:t>
            </w:r>
          </w:p>
        </w:tc>
      </w:tr>
      <w:tr w:rsidR="006C7716" w:rsidRPr="00374E10" w14:paraId="6131DA83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2B0FBBC7" w14:textId="46A5DB79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(-)-Epicatechin</w:t>
            </w:r>
          </w:p>
        </w:tc>
        <w:tc>
          <w:tcPr>
            <w:tcW w:w="960" w:type="dxa"/>
            <w:noWrap/>
            <w:vAlign w:val="center"/>
            <w:hideMark/>
          </w:tcPr>
          <w:p w14:paraId="15A381E2" w14:textId="02B3956E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849B" w14:textId="3CCB078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1.03 ± 0.55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0F6A" w14:textId="3E60BBC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0.24 ± 0.03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3EEF" w14:textId="3B1169B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0.22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201C" w14:textId="1811D1D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0.23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7803" w14:textId="492DC8C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0.28 ± 0.05</w:t>
            </w:r>
          </w:p>
        </w:tc>
      </w:tr>
      <w:tr w:rsidR="006C7716" w:rsidRPr="00374E10" w14:paraId="55E1C848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5098C21C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5B82F1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1810" w14:textId="1AE5DF0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5.65 ± 0.13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06B6" w14:textId="4816A0F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3.82 ± 0.24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5959" w14:textId="09D2867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6.76 ± 1.39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6E04" w14:textId="18EA022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7.43 ± 0.35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829F" w14:textId="2F906F9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4.97 ± 0.54</w:t>
            </w:r>
          </w:p>
        </w:tc>
      </w:tr>
      <w:tr w:rsidR="006C7716" w:rsidRPr="00374E10" w14:paraId="6F6224C8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51CD46AD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1D307E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1CDA" w14:textId="1D2A121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16.63 ± 1.46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B12E" w14:textId="39EAA3C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12.92 ± 1.66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37B0" w14:textId="42AD834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19.94 ± 1.30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05B9" w14:textId="103E80E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23.58 ± 1.29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592F" w14:textId="7DECDA2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20.5 ± 5.22</w:t>
            </w:r>
          </w:p>
        </w:tc>
      </w:tr>
      <w:tr w:rsidR="006C7716" w:rsidRPr="00374E10" w14:paraId="7DB37D99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329FC27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CBB2270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D3FD" w14:textId="583F667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20.42 ± 1.32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EAE" w14:textId="4232735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17.07 ± 1.95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B706" w14:textId="5AA3580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28.83 ± 0.38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248A" w14:textId="7064B3F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31.72 ± 0.99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A74A" w14:textId="0843F53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24.86 ± 1.98</w:t>
            </w:r>
          </w:p>
        </w:tc>
      </w:tr>
      <w:tr w:rsidR="006C7716" w:rsidRPr="00374E10" w14:paraId="53204152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9E64DDE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3461E15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DCB3" w14:textId="4593F8B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18.58 ± 1.40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AD66" w14:textId="6EABB4B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15.90 ± 0.82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EAF6" w14:textId="09B274A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21.37 ± 1.35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AF17" w14:textId="76A7462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22.76 ± 0.56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E963" w14:textId="29ACEF2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18.11 ± 1.21</w:t>
            </w:r>
          </w:p>
        </w:tc>
      </w:tr>
      <w:tr w:rsidR="006C7716" w:rsidRPr="00374E10" w14:paraId="2F84967D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1776D623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Quercetin</w:t>
            </w:r>
          </w:p>
        </w:tc>
        <w:tc>
          <w:tcPr>
            <w:tcW w:w="960" w:type="dxa"/>
            <w:noWrap/>
            <w:vAlign w:val="center"/>
            <w:hideMark/>
          </w:tcPr>
          <w:p w14:paraId="4501AD0B" w14:textId="7EC5DA0C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5EE7" w14:textId="3814880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0.02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B0F1" w14:textId="1E5E2CF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0.02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CC1D" w14:textId="27FD614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0.03 ± 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6813" w14:textId="21EC137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0.02 ± 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7E57" w14:textId="4CECD66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0.02 ± 0.00</w:t>
            </w:r>
          </w:p>
        </w:tc>
      </w:tr>
      <w:tr w:rsidR="006C7716" w:rsidRPr="00374E10" w14:paraId="62446A44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0C8E0CC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8E1B0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5787" w14:textId="0E167FB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0.47 ± 0.09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AA69" w14:textId="3957C1A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0.42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6C37" w14:textId="6952D79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0.71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4D4D" w14:textId="72B9A5C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0.75 ± 0.08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5C35" w14:textId="49A31ED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0.65 ± 0.07</w:t>
            </w:r>
          </w:p>
        </w:tc>
      </w:tr>
      <w:tr w:rsidR="006C7716" w:rsidRPr="00374E10" w14:paraId="7F8AA217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75ADAD3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2DAC9C9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DD7D" w14:textId="387242C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1.2 ± 0.13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EA77" w14:textId="5DBE2F8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1.11 ± 0.29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99D8" w14:textId="7FA4970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1.26 ± 0.09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B94D" w14:textId="1A7D940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1.69 ± 0.03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A3E7" w14:textId="5D20A35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1.44 ± 0.12</w:t>
            </w:r>
          </w:p>
        </w:tc>
      </w:tr>
      <w:tr w:rsidR="006C7716" w:rsidRPr="00374E10" w14:paraId="4CE968C1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04795002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CFF15BF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22FF" w14:textId="33F8782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1.25 ± 0.31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459D" w14:textId="6A2F827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0.96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5BA0" w14:textId="12A6452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0.45 ± 0.03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B674" w14:textId="6E65A08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0.85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7C39" w14:textId="27DC551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0.64 ± 0.14</w:t>
            </w:r>
          </w:p>
        </w:tc>
      </w:tr>
      <w:tr w:rsidR="006C7716" w:rsidRPr="00374E10" w14:paraId="72BF517F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316489FB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90E422A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393F" w14:textId="167DA5B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1.25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069F" w14:textId="1C83506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0.73 ± 0.23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C859" w14:textId="74E966B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0.52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B5DA" w14:textId="71CF688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0.74 ± 0.1</w:t>
            </w:r>
            <w:r w:rsidR="007978CF" w:rsidRPr="00374E10"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5CE3" w14:textId="5D39AA6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0.58 ± 0.1</w:t>
            </w:r>
            <w:r w:rsidR="007978CF" w:rsidRPr="00374E10">
              <w:t>0</w:t>
            </w:r>
          </w:p>
        </w:tc>
      </w:tr>
      <w:tr w:rsidR="006C7716" w:rsidRPr="00374E10" w14:paraId="6C69AB1D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30A65798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Quercetin-3-glucoside</w:t>
            </w:r>
          </w:p>
        </w:tc>
        <w:tc>
          <w:tcPr>
            <w:tcW w:w="960" w:type="dxa"/>
            <w:noWrap/>
            <w:vAlign w:val="center"/>
            <w:hideMark/>
          </w:tcPr>
          <w:p w14:paraId="787B2FC4" w14:textId="32D7290B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7255" w14:textId="580918E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0.79 ± 0.12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F1BB" w14:textId="22533E4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0.78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7E62" w14:textId="0DC3759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0.64 ± 0.07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3B36" w14:textId="6679FA8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0.56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56A4" w14:textId="693F2F3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0.61 ± 0.04</w:t>
            </w:r>
          </w:p>
        </w:tc>
      </w:tr>
      <w:tr w:rsidR="006C7716" w:rsidRPr="00374E10" w14:paraId="670AC3D5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CD67A10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B157B79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AB9F" w14:textId="2DC1021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5.71 ± 1.06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C45D" w14:textId="0840749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4.51 ± 0.24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CFD7" w14:textId="3814CEF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4.08 ± 0.24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63D1" w14:textId="0691439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4.07 ± 0.46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144E" w14:textId="77A68C2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4.15 ± 0.17</w:t>
            </w:r>
          </w:p>
        </w:tc>
      </w:tr>
      <w:tr w:rsidR="006C7716" w:rsidRPr="00374E10" w14:paraId="659F355D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307B7DE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A25924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2E80" w14:textId="3163D79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3.5 ± 0.28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A3AB" w14:textId="7DEF287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2.57 ± 0.66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8F51" w14:textId="667174E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1.15 ± 0.11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F91C" w14:textId="00D4766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1.1</w:t>
            </w:r>
            <w:r w:rsidR="007978CF" w:rsidRPr="00374E10">
              <w:t>0</w:t>
            </w:r>
            <w:r w:rsidRPr="00374E10">
              <w:t xml:space="preserve"> ± 0.08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631C" w14:textId="454CAA1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1.52 ± 0.17</w:t>
            </w:r>
          </w:p>
        </w:tc>
      </w:tr>
      <w:tr w:rsidR="006C7716" w:rsidRPr="00374E10" w14:paraId="754DC7AF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7CF1351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24DEC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FFD0" w14:textId="58BA793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3.28 ± 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C840" w14:textId="70CD9D0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2.49 ± 0.39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F221" w14:textId="5C2DC5C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0.67 ± 0.15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9C46" w14:textId="214F78A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0.69 ± 0.1</w:t>
            </w:r>
            <w:r w:rsidR="007978CF" w:rsidRPr="00374E10"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23CA" w14:textId="516972D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1.01 ± 0.12</w:t>
            </w:r>
          </w:p>
        </w:tc>
      </w:tr>
      <w:tr w:rsidR="006C7716" w:rsidRPr="00374E10" w14:paraId="4B29717E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3F27378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74495D7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2B61" w14:textId="722C4AD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ECA5" w14:textId="1C0DF89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6FEC" w14:textId="5ECC6CC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A5D9" w14:textId="5559ABD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4C00" w14:textId="2E89B60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2A3E385E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0FF3D248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Quercetin-3-glucuronide</w:t>
            </w:r>
          </w:p>
        </w:tc>
        <w:tc>
          <w:tcPr>
            <w:tcW w:w="960" w:type="dxa"/>
            <w:noWrap/>
            <w:vAlign w:val="center"/>
            <w:hideMark/>
          </w:tcPr>
          <w:p w14:paraId="17D6D007" w14:textId="2B6BB4AB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550A" w14:textId="43C45AD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0.88 ± 0.12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38D2" w14:textId="18E6377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0.84 ± 0.09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C87A" w14:textId="178305B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1.05 ± 0.15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B148" w14:textId="25F0C8A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0.9</w:t>
            </w:r>
            <w:r w:rsidR="007978CF" w:rsidRPr="00374E10">
              <w:t>0</w:t>
            </w:r>
            <w:r w:rsidRPr="00374E10">
              <w:t xml:space="preserve"> ± 0.11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0381" w14:textId="7EFAD31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0.82 ± 0.1</w:t>
            </w:r>
          </w:p>
        </w:tc>
      </w:tr>
      <w:tr w:rsidR="006C7716" w:rsidRPr="00374E10" w14:paraId="21039290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3005331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2858AAA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7405" w14:textId="5C0904C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2.08 ± 0.87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E2F7" w14:textId="12BE815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4.05 ± 0.35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274C" w14:textId="1592E8D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4.87 ± 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7B54" w14:textId="069BF53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5.17 ± 0.52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34F0" w14:textId="12F114E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4.59 ± 0.4</w:t>
            </w:r>
          </w:p>
        </w:tc>
      </w:tr>
      <w:tr w:rsidR="006C7716" w:rsidRPr="00374E10" w14:paraId="453254EB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11A5AB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B1694A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1F76" w14:textId="4FE1C17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4.86 ± 0.38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ECAC" w14:textId="7A6BE7B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4.28 ± 0.37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7798" w14:textId="275254A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4.12 ± 0.48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FED3" w14:textId="128B12E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4.71 ± 0.54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C11D" w14:textId="54B9071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4.84 ± 0.59</w:t>
            </w:r>
          </w:p>
        </w:tc>
      </w:tr>
      <w:tr w:rsidR="006C7716" w:rsidRPr="00374E10" w14:paraId="28E21CD7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36F09DFA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7E95B28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F77A" w14:textId="04CA592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6.42 ± 0.40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FD60" w14:textId="39951C0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5.6 ± 0.75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7F5" w14:textId="16F4044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4.27 ± 0.24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540D" w14:textId="55B4F53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5.16 ± 0.81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4C97" w14:textId="49B5AD9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4.61 ± 0.42</w:t>
            </w:r>
          </w:p>
        </w:tc>
      </w:tr>
      <w:tr w:rsidR="006C7716" w:rsidRPr="00374E10" w14:paraId="2704D5F1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057931BC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75B3A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6DB4" w14:textId="61CA086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5.85 ± 0.30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7046" w14:textId="0D1F31F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4.25 ± 0.75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1E20" w14:textId="7DE4EF9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3.83 ± 0.33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6C4B" w14:textId="39C3633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4.05 ± 0.44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5BB3" w14:textId="084B9E5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4.04 ± 0.5</w:t>
            </w:r>
            <w:r w:rsidR="007978CF" w:rsidRPr="00374E10">
              <w:t>0</w:t>
            </w:r>
          </w:p>
        </w:tc>
      </w:tr>
      <w:tr w:rsidR="006C7716" w:rsidRPr="00374E10" w14:paraId="0F64DF98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7F905850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Procyanidin A2</w:t>
            </w:r>
          </w:p>
        </w:tc>
        <w:tc>
          <w:tcPr>
            <w:tcW w:w="960" w:type="dxa"/>
            <w:noWrap/>
            <w:vAlign w:val="center"/>
            <w:hideMark/>
          </w:tcPr>
          <w:p w14:paraId="5F98E621" w14:textId="14499D4C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5D94" w14:textId="74535DA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0.08 ± 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A539" w14:textId="49A6B2F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0.06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46DC" w14:textId="1504606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0.07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46E1" w14:textId="096C2F3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0.06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013B" w14:textId="4A0101E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0.06 ± 0</w:t>
            </w:r>
            <w:r w:rsidR="007978CF" w:rsidRPr="00374E10">
              <w:t>.00</w:t>
            </w:r>
          </w:p>
        </w:tc>
      </w:tr>
      <w:tr w:rsidR="006C7716" w:rsidRPr="00374E10" w14:paraId="06E6927B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BE295AC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E94BDF4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04A5" w14:textId="375BB36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0.08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00F7" w14:textId="0A9270D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0.09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C119" w14:textId="6CCE34A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0.09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ACDA" w14:textId="3B0E12B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0.1</w:t>
            </w:r>
            <w:r w:rsidR="007978CF" w:rsidRPr="00374E10">
              <w:t>0</w:t>
            </w:r>
            <w:r w:rsidRPr="00374E10">
              <w:t xml:space="preserve">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200D" w14:textId="123A43D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0.12 ± 0.01</w:t>
            </w:r>
          </w:p>
        </w:tc>
      </w:tr>
      <w:tr w:rsidR="006C7716" w:rsidRPr="00374E10" w14:paraId="3F95B75F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568E209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586467C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CAE8" w14:textId="51677AC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0.19 ± 0.05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12C" w14:textId="21AC960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0.24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4C58" w14:textId="745501F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0.33 ± 0.07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B372" w14:textId="647F0E8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0.35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F069" w14:textId="733EDA4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0.31 ± 0.03</w:t>
            </w:r>
          </w:p>
        </w:tc>
      </w:tr>
      <w:tr w:rsidR="006C7716" w:rsidRPr="00374E10" w14:paraId="2B921A76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DA89F6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F9630D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E223" w14:textId="0C89231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0.23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084C" w14:textId="3B793DC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0.28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0C32" w14:textId="187A6D1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0.31 ± 0.05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CA07" w14:textId="0F7DC77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0.35 ± 0.05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7618" w14:textId="3818E27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0.3</w:t>
            </w:r>
            <w:r w:rsidR="007978CF" w:rsidRPr="00374E10">
              <w:t>0</w:t>
            </w:r>
            <w:r w:rsidRPr="00374E10">
              <w:t xml:space="preserve"> ± 0.1</w:t>
            </w:r>
            <w:r w:rsidR="007978CF" w:rsidRPr="00374E10">
              <w:t>0</w:t>
            </w:r>
          </w:p>
        </w:tc>
      </w:tr>
      <w:tr w:rsidR="006C7716" w:rsidRPr="00374E10" w14:paraId="7300AB10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F0DECF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449BB17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53FF" w14:textId="1D0562F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0.16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342E" w14:textId="799E5D6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0.17 ± 0.06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9AB0" w14:textId="60D0ED1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0.16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FA79" w14:textId="05CF28B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0.14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D810" w14:textId="6A76712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0.15 ± 0.01</w:t>
            </w:r>
          </w:p>
        </w:tc>
      </w:tr>
      <w:tr w:rsidR="006C7716" w:rsidRPr="00374E10" w14:paraId="301B21A2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7BAF6910" w14:textId="26DF5779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Malvidin ch</w:t>
            </w:r>
            <w:r w:rsidR="007978CF" w:rsidRPr="00374E10">
              <w:rPr>
                <w:bCs/>
              </w:rPr>
              <w:t>l</w:t>
            </w:r>
            <w:r w:rsidRPr="00374E10">
              <w:rPr>
                <w:bCs/>
              </w:rPr>
              <w:t>oride</w:t>
            </w:r>
          </w:p>
        </w:tc>
        <w:tc>
          <w:tcPr>
            <w:tcW w:w="960" w:type="dxa"/>
            <w:noWrap/>
            <w:vAlign w:val="center"/>
            <w:hideMark/>
          </w:tcPr>
          <w:p w14:paraId="135E8C84" w14:textId="17D61485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679D" w14:textId="59F74C7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0.79 ± 0.37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CCB3" w14:textId="0C964FD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0.29 ± 0.03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C0A1" w14:textId="1395B5E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0.29 ± 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8C8C" w14:textId="2411755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0.27 ± 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A934" w14:textId="6774054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0.29 ± 0.01</w:t>
            </w:r>
          </w:p>
        </w:tc>
      </w:tr>
      <w:tr w:rsidR="006C7716" w:rsidRPr="00374E10" w14:paraId="62070489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BE6135A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48132D1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74EF" w14:textId="0657A4A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6.55 ± 0.69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DC14" w14:textId="46DFCD4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6.58 ± 0.52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AA49" w14:textId="508D10D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7.52 ± 0.66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5CC7" w14:textId="3625AEB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8.14 ± 0.76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2936" w14:textId="76DCE22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5.97 ± 0.56</w:t>
            </w:r>
          </w:p>
        </w:tc>
      </w:tr>
      <w:tr w:rsidR="006C7716" w:rsidRPr="00374E10" w14:paraId="3042C385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245E8CA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00723D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545F" w14:textId="7977C40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5.22 ± 0.47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7B8E" w14:textId="4799397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5.32 ± 0.44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D586" w14:textId="6952484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5.45 ± 0.32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2E7A" w14:textId="390B03D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5.83 ± 0.65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CC05" w14:textId="5A6C16D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6.11 ± 0.39</w:t>
            </w:r>
          </w:p>
        </w:tc>
      </w:tr>
      <w:tr w:rsidR="006C7716" w:rsidRPr="00374E10" w14:paraId="32728AEB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0C5387C8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B8CBB8D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FD64" w14:textId="3D3C257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5.35 ± 0.40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D831" w14:textId="79347C7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5.23 ± 0.41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BB18" w14:textId="40C0741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3.96 ± 0.25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8C1E" w14:textId="2E0746D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5.06 ± 0.79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333D" w14:textId="4D90BF2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4.09 ± 0.34</w:t>
            </w:r>
          </w:p>
        </w:tc>
      </w:tr>
      <w:tr w:rsidR="006C7716" w:rsidRPr="00374E10" w14:paraId="108BF3DD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F483874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AAA73D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949E" w14:textId="647E689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2.57 ± 0.19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59DA" w14:textId="78709CE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1.16 ± 0.14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BBC3" w14:textId="3FFAEE4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1.27 ± 0.10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131" w14:textId="3A9BBD5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1.58 ± 0.13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471C" w14:textId="6618BAC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1.27 ± 0.11</w:t>
            </w:r>
          </w:p>
        </w:tc>
      </w:tr>
      <w:tr w:rsidR="006C7716" w:rsidRPr="00374E10" w14:paraId="14281D7A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64170DF8" w14:textId="47B7551E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Malvidin-3-glucoside</w:t>
            </w:r>
          </w:p>
        </w:tc>
        <w:tc>
          <w:tcPr>
            <w:tcW w:w="960" w:type="dxa"/>
            <w:noWrap/>
            <w:vAlign w:val="center"/>
            <w:hideMark/>
          </w:tcPr>
          <w:p w14:paraId="637FD522" w14:textId="6A92A504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64B9" w14:textId="0754DBB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24.82 ± 2.58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F237" w14:textId="158A843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17.99 ± 3.39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D5C3" w14:textId="5E0BFA5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17.67 ± 1.51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7302" w14:textId="7C6FE11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17.91 ± 2.15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CD0C" w14:textId="2DB430E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14.7</w:t>
            </w:r>
            <w:r w:rsidR="007978CF" w:rsidRPr="00374E10">
              <w:t>0</w:t>
            </w:r>
            <w:r w:rsidRPr="00374E10">
              <w:t xml:space="preserve"> ± 1.26</w:t>
            </w:r>
          </w:p>
        </w:tc>
      </w:tr>
      <w:tr w:rsidR="006C7716" w:rsidRPr="00374E10" w14:paraId="4AFBC626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1FF9C2C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6172F6F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7AEE" w14:textId="3F2B5F7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176.98 ± 20.15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F2D8" w14:textId="5B7B83A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163.65 ± 6.09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4860" w14:textId="1F67C09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167.54 ± 4.62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40AD" w14:textId="6D18C1F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173.19 ± 15.95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05B" w14:textId="4886CDB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161.1 ± 16.32</w:t>
            </w:r>
          </w:p>
        </w:tc>
      </w:tr>
      <w:tr w:rsidR="006C7716" w:rsidRPr="00374E10" w14:paraId="66BB7CD4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37ED79A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C60809D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E06E" w14:textId="5705418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175.58 ± 23.26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83D2" w14:textId="3C2306D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160.31 ± 2.39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0167" w14:textId="1069CA8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153.07 ± 6.68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BED6" w14:textId="69696B5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168.97 ± 6.33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D93B" w14:textId="7B8E620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148.83 ± 5.23</w:t>
            </w:r>
          </w:p>
        </w:tc>
      </w:tr>
      <w:tr w:rsidR="006C7716" w:rsidRPr="00374E10" w14:paraId="6DE22BEB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1B0CD66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6C4899D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116C" w14:textId="4776D5D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133.35 ± 2.40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175B" w14:textId="14E48D1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147.97 ± 9.95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BD9A" w14:textId="03A1377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142.94 ± 5.52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71A0" w14:textId="6863538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155.83 ± 14.37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AED7" w14:textId="6A190A8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140.68 ± 3.96</w:t>
            </w:r>
          </w:p>
        </w:tc>
      </w:tr>
      <w:tr w:rsidR="006C7716" w:rsidRPr="00374E10" w14:paraId="3CBA29F8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8BBD0F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4C00C5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877F" w14:textId="34F6AA7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93.34 ± 4.90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C56A" w14:textId="5A17911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44.32 ± 1.73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48C6" w14:textId="53F213F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48.05 ± 1.03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C8E6" w14:textId="424A64E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54.65 ± 2</w:t>
            </w:r>
            <w:r w:rsidR="007978CF" w:rsidRPr="00374E10">
              <w:t>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C16C" w14:textId="2229CBC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43.36 ± 2.38</w:t>
            </w:r>
          </w:p>
        </w:tc>
      </w:tr>
      <w:tr w:rsidR="006C7716" w:rsidRPr="00374E10" w14:paraId="2BB66BDD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4CE8F1D9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Delphinidin-3-glucoside</w:t>
            </w:r>
          </w:p>
        </w:tc>
        <w:tc>
          <w:tcPr>
            <w:tcW w:w="960" w:type="dxa"/>
            <w:noWrap/>
            <w:vAlign w:val="center"/>
            <w:hideMark/>
          </w:tcPr>
          <w:p w14:paraId="1F92FB1C" w14:textId="51192F5D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1C83" w14:textId="75F67FC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7.20 ± 2.04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C867" w14:textId="14895CB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0.72 ± 0.22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BFBB" w14:textId="4E4C16F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0.71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3822" w14:textId="3C23623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0.67 ± 0.11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49F8" w14:textId="74C46FD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</w:t>
            </w:r>
            <w:r w:rsidR="007978CF" w:rsidRPr="00374E10">
              <w:t>0</w:t>
            </w:r>
            <w:r w:rsidRPr="00374E10">
              <w:t xml:space="preserve"> ± 0.04</w:t>
            </w:r>
          </w:p>
        </w:tc>
      </w:tr>
      <w:tr w:rsidR="006C7716" w:rsidRPr="00374E10" w14:paraId="0EAB412E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054BCAD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DD705F4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1198" w14:textId="6E563CD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32.81 ± 8.36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D7A6" w14:textId="05BA32C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24.89 ± 2.09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D691" w14:textId="0ABA70D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25.91 ± 1.11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5BA8" w14:textId="00CD4E4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27.89 ± 0.58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13D9" w14:textId="2F049E1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26.36 ± 2.2</w:t>
            </w:r>
            <w:r w:rsidR="007978CF" w:rsidRPr="00374E10">
              <w:t>0</w:t>
            </w:r>
          </w:p>
        </w:tc>
      </w:tr>
      <w:tr w:rsidR="006C7716" w:rsidRPr="00374E10" w14:paraId="0190D9BB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5AF030EA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916B7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2BCC" w14:textId="29E9648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20.05 ± 5.14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E9FB" w14:textId="2612CEC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20.05 ± 4.65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16DA" w14:textId="428BA14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11.89 ± 1.31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8CC7" w14:textId="35624BD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13.07 ± 1.14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7121" w14:textId="5D6292B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16.45 ± 1.87</w:t>
            </w:r>
          </w:p>
        </w:tc>
      </w:tr>
      <w:tr w:rsidR="006C7716" w:rsidRPr="00374E10" w14:paraId="7E1C0D90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2CFD8D23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61C4605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E5AD" w14:textId="354694D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18.37 ± 4.03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F45A" w14:textId="28724EE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18.4 ± 4.46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0266" w14:textId="74A2E7C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10.23 ± 1.08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FDDD" w14:textId="15472EC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11.8 ± 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D5F6" w14:textId="0273E21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11.78 ± 1.18</w:t>
            </w:r>
          </w:p>
        </w:tc>
      </w:tr>
      <w:tr w:rsidR="006C7716" w:rsidRPr="00374E10" w14:paraId="440B1E56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5414D4B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53EF304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9FD7" w14:textId="1DAC6EC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11.68 ± 2.33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EE92" w14:textId="6C483D4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4.88 ± 1.73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2D5A" w14:textId="6504992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3.42 ± 0.21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DF7D" w14:textId="6249D26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4.7</w:t>
            </w:r>
            <w:r w:rsidR="007978CF" w:rsidRPr="00374E10">
              <w:t>0</w:t>
            </w:r>
            <w:r w:rsidRPr="00374E10">
              <w:t xml:space="preserve"> ± 0.32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9BF" w14:textId="48A7327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3.73 ± 0.38</w:t>
            </w:r>
          </w:p>
        </w:tc>
      </w:tr>
      <w:tr w:rsidR="006C7716" w:rsidRPr="00374E10" w14:paraId="7B2EA56E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79979CE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Cyanidin-3-glucoside</w:t>
            </w:r>
          </w:p>
        </w:tc>
        <w:tc>
          <w:tcPr>
            <w:tcW w:w="960" w:type="dxa"/>
            <w:noWrap/>
            <w:vAlign w:val="center"/>
            <w:hideMark/>
          </w:tcPr>
          <w:p w14:paraId="486C78E8" w14:textId="6C993A4E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2E55" w14:textId="62D956B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3.71 ± 0.75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2263" w14:textId="60F6947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2.10 ± 0.39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E996" w14:textId="77F38A8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1.97 ± 0.08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ED1E" w14:textId="3C30B01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2.01 ± 0.24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8A1" w14:textId="434701F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1.72 ± 0.26</w:t>
            </w:r>
          </w:p>
        </w:tc>
      </w:tr>
      <w:tr w:rsidR="006C7716" w:rsidRPr="00374E10" w14:paraId="7FE9A20D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78D7136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83CEF06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7AD0" w14:textId="2967475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1.21 ± 0.12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8243" w14:textId="60A75BD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1.11 ± 0.25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1232" w14:textId="3D67271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0.97 ± 0.09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B114" w14:textId="46E396A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0.98 ± 0.12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067C" w14:textId="608AC4B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0.98 ± 0.12</w:t>
            </w:r>
          </w:p>
        </w:tc>
      </w:tr>
      <w:tr w:rsidR="006C7716" w:rsidRPr="00374E10" w14:paraId="1DA15622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0FAD937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26BDCA2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21E6" w14:textId="76BE899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2F87" w14:textId="1BCCA8A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FFA6" w14:textId="783AF34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4038" w14:textId="4BDA4D2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9808" w14:textId="68F5707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7C806612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5172070E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85807A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7A60" w14:textId="718DC56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753E" w14:textId="4F74F82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8021" w14:textId="0A6080C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29BD" w14:textId="3D86D2E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F089" w14:textId="1C38662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693D2F26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4D8CA7B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BDCB9F5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CDB7" w14:textId="0202F16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9391" w14:textId="0E91585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C9FD" w14:textId="36E85D4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BE1B" w14:textId="14FE44A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11C8" w14:textId="34E7096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2BC8B574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6B46AAA1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Anthocyanin 1</w:t>
            </w:r>
          </w:p>
        </w:tc>
        <w:tc>
          <w:tcPr>
            <w:tcW w:w="960" w:type="dxa"/>
            <w:noWrap/>
            <w:vAlign w:val="center"/>
            <w:hideMark/>
          </w:tcPr>
          <w:p w14:paraId="110CDCED" w14:textId="0D7B7B3D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1C15" w14:textId="279A3E7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4.44 ± 0.73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1D02" w14:textId="24B1675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0.95 ± 0.39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A53A" w14:textId="07B2582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0.83 ± 0.08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7133" w14:textId="3046753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0.84 ± 0.15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DCF" w14:textId="5BDE9DF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0.64 ± 0.04</w:t>
            </w:r>
          </w:p>
        </w:tc>
      </w:tr>
      <w:tr w:rsidR="006C7716" w:rsidRPr="00374E10" w14:paraId="6F739086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DE5E228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721E928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6817" w14:textId="6262975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25.56 ± 1.49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1BEA" w14:textId="4DA5A0F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22.87 ± 2.26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A684" w14:textId="7CA31C0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24.28 ± 1.49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ECDF" w14:textId="6BCFFBE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26.17 ± 1.11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F575" w14:textId="01C6007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23.54 ± 1.93</w:t>
            </w:r>
          </w:p>
        </w:tc>
      </w:tr>
      <w:tr w:rsidR="006C7716" w:rsidRPr="00374E10" w14:paraId="070BE0DD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3F7C4AC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4EB0D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8A3D" w14:textId="7122B6F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31.79 ± 7.08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2757" w14:textId="273DA5D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26.56 ± 1.85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2500" w14:textId="118910F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21.38 ± 0.72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362A" w14:textId="0FF22B5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24.22 ± 2.34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8F78" w14:textId="03186CD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26.49 ± 1.98</w:t>
            </w:r>
          </w:p>
        </w:tc>
      </w:tr>
      <w:tr w:rsidR="006C7716" w:rsidRPr="00374E10" w14:paraId="3BDB5F3B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DBE31D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48AB762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FFF2" w14:textId="07CE0BC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28.35 ± 2.16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BC7C" w14:textId="718B0E0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25.44 ± 1.56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A529" w14:textId="53A7AB0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19.17 ± 1.98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CDA4" w14:textId="258C617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24.00 ± 3.34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EBD0" w14:textId="5205A04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21.99 ± 0.96</w:t>
            </w:r>
          </w:p>
        </w:tc>
      </w:tr>
      <w:tr w:rsidR="006C7716" w:rsidRPr="00374E10" w14:paraId="70E62D38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9E13E03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114E24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0BA0" w14:textId="0C8FF7D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17.40 ± 1.96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AB54" w14:textId="3436F56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7.37 ± 2.11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8F51" w14:textId="1288693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6.37 ± 0.36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7D5" w14:textId="735A9C1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8.36 ± 0.37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8551" w14:textId="61F625C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6.62 ± 0.49</w:t>
            </w:r>
          </w:p>
        </w:tc>
      </w:tr>
      <w:tr w:rsidR="006C7716" w:rsidRPr="00374E10" w14:paraId="38E890B5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4961B168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Anthocyanin 2</w:t>
            </w:r>
          </w:p>
        </w:tc>
        <w:tc>
          <w:tcPr>
            <w:tcW w:w="960" w:type="dxa"/>
            <w:noWrap/>
            <w:vAlign w:val="center"/>
            <w:hideMark/>
          </w:tcPr>
          <w:p w14:paraId="43DFCA8F" w14:textId="17A592E3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9960" w14:textId="0A24B0B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0.90 ± 0.05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F861" w14:textId="635A125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0.49 ± 0.06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687F" w14:textId="1D51E91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0.55 ± 0.05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A003" w14:textId="29A33D2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0.54 ± 0.04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5EB2" w14:textId="09FF9D7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0.45 ± 0.03</w:t>
            </w:r>
          </w:p>
        </w:tc>
      </w:tr>
      <w:tr w:rsidR="006C7716" w:rsidRPr="00374E10" w14:paraId="54DEBEA4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4D043284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512C5B9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26E5" w14:textId="47CC4FB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ED1F" w14:textId="14F7ED3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E23" w14:textId="1E0792D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378A" w14:textId="7040E45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940D" w14:textId="15939AC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5FFA1D58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0044869A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FEC806F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0EE6" w14:textId="0DF7796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56FC" w14:textId="4104EE0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DBB0" w14:textId="707F81F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B61F" w14:textId="7AF000E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8C2B" w14:textId="00762C2C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0E9F1E81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19449D00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47CF48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E587" w14:textId="2F62637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6D4B" w14:textId="5FDBD3F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BCD4" w14:textId="49986E2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B7AD" w14:textId="457DE35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5D8F" w14:textId="3E7E806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0CE10878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0961EF64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298F78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B4A8" w14:textId="4222380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3E24" w14:textId="6AEA16E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ABE5" w14:textId="008E78C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283E" w14:textId="33FFB65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80E8" w14:textId="344C8E8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2036DC3E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noWrap/>
            <w:hideMark/>
          </w:tcPr>
          <w:p w14:paraId="300EA24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Anthocyanin 3</w:t>
            </w:r>
          </w:p>
        </w:tc>
        <w:tc>
          <w:tcPr>
            <w:tcW w:w="960" w:type="dxa"/>
            <w:noWrap/>
            <w:vAlign w:val="center"/>
            <w:hideMark/>
          </w:tcPr>
          <w:p w14:paraId="3C758BD0" w14:textId="78594835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7F9C" w14:textId="4C41797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0.76 ± 0.12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D5D" w14:textId="326F440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13BE" w14:textId="6CC6C328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3CB6" w14:textId="2ED1CCD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E00B" w14:textId="10182E3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ND</w:t>
            </w:r>
          </w:p>
        </w:tc>
      </w:tr>
      <w:tr w:rsidR="006C7716" w:rsidRPr="00374E10" w14:paraId="6FCB469E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73ABEC9E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5A16F26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C11F" w14:textId="5666367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5.05 ± 0.57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A492" w14:textId="55D9F20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4.68 ± 0.48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481" w14:textId="6B72D9F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5.00 ± 0.21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0CEF" w14:textId="6D6F82D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5.18 ± 0.49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FF06" w14:textId="6FA5680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4.31 ± 0.56</w:t>
            </w:r>
          </w:p>
        </w:tc>
      </w:tr>
      <w:tr w:rsidR="006C7716" w:rsidRPr="00374E10" w14:paraId="570B7C15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4611980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C1C384F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5B8" w14:textId="0F26F22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4.99 ± 0.36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9F9" w14:textId="5469F51D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5.59 ± 0.56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4F0A" w14:textId="649A48C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4.63 ± 0.44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F458" w14:textId="1A9BC1B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4.83 ± 0.60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B946" w14:textId="5FA7A3B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5.31 ± 0.66</w:t>
            </w:r>
          </w:p>
        </w:tc>
      </w:tr>
      <w:tr w:rsidR="006C7716" w:rsidRPr="00374E10" w14:paraId="43A99265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6EA420AC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98647AB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353A" w14:textId="3E1395A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4.83 ± 0.58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BE32" w14:textId="496000F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4.94 ± 0.54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72FC" w14:textId="30202E1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3.74 ± 0.30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F9D4" w14:textId="21045FC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4.71 ± 0.53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EA0B" w14:textId="4AAD3C3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3.87 ± 0.26</w:t>
            </w:r>
          </w:p>
        </w:tc>
      </w:tr>
      <w:tr w:rsidR="006C7716" w:rsidRPr="00374E10" w14:paraId="0510C73A" w14:textId="77777777" w:rsidTr="00374E10">
        <w:trPr>
          <w:trHeight w:val="272"/>
          <w:jc w:val="center"/>
        </w:trPr>
        <w:tc>
          <w:tcPr>
            <w:tcW w:w="1948" w:type="dxa"/>
            <w:vMerge/>
            <w:hideMark/>
          </w:tcPr>
          <w:p w14:paraId="5B6203D5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A39E5BC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3197" w14:textId="7250433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2.31 ± 0.22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54F4" w14:textId="738D13F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1.04 ± 0.15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1273" w14:textId="288DF3D2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0.99 ± 0.09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785B" w14:textId="5613A3E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1.38 ± 0.13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05D7" w14:textId="6E05EEE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1.06 ± 0.11</w:t>
            </w:r>
          </w:p>
        </w:tc>
      </w:tr>
      <w:tr w:rsidR="006C7716" w:rsidRPr="00374E10" w14:paraId="2BC833A8" w14:textId="77777777" w:rsidTr="00374E10">
        <w:trPr>
          <w:trHeight w:val="272"/>
          <w:jc w:val="center"/>
        </w:trPr>
        <w:tc>
          <w:tcPr>
            <w:tcW w:w="1948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6FB79F6F" w14:textId="77777777" w:rsidR="006C7716" w:rsidRPr="00374E10" w:rsidRDefault="006C7716" w:rsidP="00374E10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Anthocyanin 4</w:t>
            </w:r>
          </w:p>
        </w:tc>
        <w:tc>
          <w:tcPr>
            <w:tcW w:w="960" w:type="dxa"/>
            <w:noWrap/>
            <w:vAlign w:val="center"/>
            <w:hideMark/>
          </w:tcPr>
          <w:p w14:paraId="726C5B55" w14:textId="28088E1C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</w:t>
            </w:r>
            <w:r w:rsidR="00DB7617" w:rsidRPr="00374E10">
              <w:rPr>
                <w:bCs/>
              </w:rPr>
              <w:t>ust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CF61" w14:textId="40F86B7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1.44 ± 0.38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8DB1" w14:textId="682821C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0.64 ± 0.06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5D6B" w14:textId="7CE5132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0.67 ± 0.05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D2D3" w14:textId="7FE54BD9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0.60 ± 0.09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BEE5" w14:textId="3A5905D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0.64 ± 0.06</w:t>
            </w:r>
          </w:p>
        </w:tc>
      </w:tr>
      <w:tr w:rsidR="006C7716" w:rsidRPr="00374E10" w14:paraId="38CBC561" w14:textId="77777777" w:rsidTr="00374E10">
        <w:trPr>
          <w:trHeight w:val="272"/>
          <w:jc w:val="center"/>
        </w:trPr>
        <w:tc>
          <w:tcPr>
            <w:tcW w:w="1948" w:type="dxa"/>
            <w:vMerge/>
            <w:tcBorders>
              <w:bottom w:val="single" w:sz="4" w:space="0" w:color="auto"/>
            </w:tcBorders>
            <w:hideMark/>
          </w:tcPr>
          <w:p w14:paraId="3A726D0D" w14:textId="77777777" w:rsidR="006C7716" w:rsidRPr="00374E10" w:rsidRDefault="006C7716" w:rsidP="00374E10">
            <w:pPr>
              <w:jc w:val="left"/>
              <w:rPr>
                <w:rFonts w:eastAsia="Times New Roman"/>
                <w:szCs w:val="18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2CE6E54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50%AF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67DA" w14:textId="4C9D029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13.34 ± 1.21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0025" w14:textId="091EA1F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12.89 ± 1.46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5F23" w14:textId="2FF3C7A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13.69 ± 0.93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976F" w14:textId="1FD3B57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14.63 ± 1.88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4F5F" w14:textId="076B928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13.85 ± 1.78</w:t>
            </w:r>
          </w:p>
        </w:tc>
      </w:tr>
      <w:tr w:rsidR="006C7716" w:rsidRPr="00374E10" w14:paraId="7326C2BD" w14:textId="77777777" w:rsidTr="00374E10">
        <w:trPr>
          <w:trHeight w:val="272"/>
          <w:jc w:val="center"/>
        </w:trPr>
        <w:tc>
          <w:tcPr>
            <w:tcW w:w="1948" w:type="dxa"/>
            <w:vMerge/>
            <w:tcBorders>
              <w:bottom w:val="single" w:sz="4" w:space="0" w:color="auto"/>
            </w:tcBorders>
            <w:hideMark/>
          </w:tcPr>
          <w:p w14:paraId="7C5FFA38" w14:textId="77777777" w:rsidR="006C7716" w:rsidRPr="00374E10" w:rsidRDefault="006C7716" w:rsidP="00374E10">
            <w:pPr>
              <w:jc w:val="left"/>
              <w:rPr>
                <w:rFonts w:eastAsia="Times New Roman"/>
                <w:szCs w:val="18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90F2A56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AF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DF9D" w14:textId="42FCDD8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15.09 ± 0.65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509E" w14:textId="296424DE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14.24 ± 1.36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9B48" w14:textId="558E409B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13.63 ± 1.26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09DA" w14:textId="3337BC4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14.75 ± 2.05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AADD" w14:textId="2F3C393A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15.62 ± 1.95</w:t>
            </w:r>
          </w:p>
        </w:tc>
      </w:tr>
      <w:tr w:rsidR="006C7716" w:rsidRPr="00374E10" w14:paraId="1E802774" w14:textId="77777777" w:rsidTr="00374E10">
        <w:trPr>
          <w:trHeight w:val="272"/>
          <w:jc w:val="center"/>
        </w:trPr>
        <w:tc>
          <w:tcPr>
            <w:tcW w:w="1948" w:type="dxa"/>
            <w:vMerge/>
            <w:tcBorders>
              <w:bottom w:val="single" w:sz="4" w:space="0" w:color="auto"/>
            </w:tcBorders>
            <w:hideMark/>
          </w:tcPr>
          <w:p w14:paraId="3109C093" w14:textId="77777777" w:rsidR="006C7716" w:rsidRPr="00374E10" w:rsidRDefault="006C7716" w:rsidP="00374E10">
            <w:pPr>
              <w:jc w:val="left"/>
              <w:rPr>
                <w:rFonts w:eastAsia="Times New Roman"/>
                <w:szCs w:val="18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E2DA13D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MLF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9933" w14:textId="3C9CA870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14.53 ± 1.20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EC8D" w14:textId="1AA8D831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12.81 ± 1.31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D1D0" w14:textId="4477C31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11.26 ± 0.86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E450" w14:textId="05953316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13.78 ± 1.62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C367" w14:textId="33E8CCD7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12.04 ± 0.51</w:t>
            </w:r>
          </w:p>
        </w:tc>
      </w:tr>
      <w:tr w:rsidR="006C7716" w:rsidRPr="00374E10" w14:paraId="12EB3ABB" w14:textId="77777777" w:rsidTr="00374E10">
        <w:trPr>
          <w:trHeight w:val="272"/>
          <w:jc w:val="center"/>
        </w:trPr>
        <w:tc>
          <w:tcPr>
            <w:tcW w:w="1948" w:type="dxa"/>
            <w:vMerge/>
            <w:tcBorders>
              <w:bottom w:val="single" w:sz="4" w:space="0" w:color="auto"/>
            </w:tcBorders>
            <w:hideMark/>
          </w:tcPr>
          <w:p w14:paraId="3576493C" w14:textId="77777777" w:rsidR="006C7716" w:rsidRPr="00374E10" w:rsidRDefault="006C7716" w:rsidP="00374E10">
            <w:pPr>
              <w:jc w:val="left"/>
              <w:rPr>
                <w:rFonts w:eastAsia="Times New Roman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E45033" w14:textId="77777777" w:rsidR="006C7716" w:rsidRPr="00374E10" w:rsidRDefault="006C7716" w:rsidP="00DB7617">
            <w:pPr>
              <w:pStyle w:val="MDPI42tablebody"/>
              <w:jc w:val="left"/>
              <w:rPr>
                <w:bCs/>
              </w:rPr>
            </w:pPr>
            <w:r w:rsidRPr="00374E10">
              <w:rPr>
                <w:bCs/>
              </w:rPr>
              <w:t>YB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805A" w14:textId="57A514B3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6.64 ± 0.46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F601" w14:textId="5F5E9415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3.00 ± 0.33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6134" w14:textId="5D95416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3.10 ± 0.27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BD64" w14:textId="41FC1CAF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3.99 ± 0.40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7354" w14:textId="730BCDB4" w:rsidR="006C7716" w:rsidRPr="00374E10" w:rsidRDefault="006C7716" w:rsidP="00DB7617">
            <w:pPr>
              <w:pStyle w:val="MDPI42tablebody"/>
              <w:spacing w:line="240" w:lineRule="auto"/>
            </w:pPr>
            <w:r w:rsidRPr="00374E10">
              <w:t>3.3</w:t>
            </w:r>
            <w:r w:rsidR="007978CF" w:rsidRPr="00374E10">
              <w:t>0</w:t>
            </w:r>
            <w:r w:rsidRPr="00374E10">
              <w:t xml:space="preserve"> ± 0.2</w:t>
            </w:r>
            <w:r w:rsidR="007978CF" w:rsidRPr="00374E10">
              <w:t>0</w:t>
            </w:r>
          </w:p>
        </w:tc>
      </w:tr>
    </w:tbl>
    <w:p w14:paraId="6218A73D" w14:textId="205DADED" w:rsidR="00DB7617" w:rsidRPr="00374E10" w:rsidRDefault="00DB7617" w:rsidP="00374E10">
      <w:pPr>
        <w:pStyle w:val="MDPI43tablefooter"/>
        <w:spacing w:before="60"/>
        <w:ind w:left="142"/>
        <w:rPr>
          <w:rFonts w:cs="Times New Roman"/>
          <w:szCs w:val="16"/>
        </w:rPr>
      </w:pPr>
      <w:r w:rsidRPr="00374E10">
        <w:rPr>
          <w:rFonts w:cs="Times New Roman"/>
          <w:szCs w:val="16"/>
        </w:rPr>
        <w:t xml:space="preserve">NC: </w:t>
      </w:r>
      <w:r w:rsidR="00CE0270">
        <w:rPr>
          <w:szCs w:val="16"/>
        </w:rPr>
        <w:t>n</w:t>
      </w:r>
      <w:r w:rsidRPr="00374E10">
        <w:rPr>
          <w:szCs w:val="16"/>
        </w:rPr>
        <w:t>egative</w:t>
      </w:r>
      <w:r w:rsidRPr="00374E10">
        <w:rPr>
          <w:rFonts w:cs="Times New Roman"/>
          <w:szCs w:val="16"/>
        </w:rPr>
        <w:t xml:space="preserve"> </w:t>
      </w:r>
      <w:r w:rsidR="00CE0270">
        <w:rPr>
          <w:rFonts w:cs="Times New Roman"/>
          <w:szCs w:val="16"/>
        </w:rPr>
        <w:t>c</w:t>
      </w:r>
      <w:r w:rsidRPr="00374E10">
        <w:rPr>
          <w:rFonts w:cs="Times New Roman"/>
          <w:szCs w:val="16"/>
        </w:rPr>
        <w:t xml:space="preserve">ontrol; PC: </w:t>
      </w:r>
      <w:r w:rsidR="00CE0270">
        <w:rPr>
          <w:rFonts w:cs="Times New Roman"/>
          <w:szCs w:val="16"/>
        </w:rPr>
        <w:t>p</w:t>
      </w:r>
      <w:r w:rsidRPr="00374E10">
        <w:rPr>
          <w:rFonts w:cs="Times New Roman"/>
          <w:szCs w:val="16"/>
        </w:rPr>
        <w:t xml:space="preserve">ositive </w:t>
      </w:r>
      <w:r w:rsidR="00CE0270">
        <w:rPr>
          <w:rFonts w:cs="Times New Roman"/>
          <w:szCs w:val="16"/>
        </w:rPr>
        <w:t>c</w:t>
      </w:r>
      <w:r w:rsidRPr="00374E10">
        <w:rPr>
          <w:rFonts w:cs="Times New Roman"/>
          <w:szCs w:val="16"/>
        </w:rPr>
        <w:t xml:space="preserve">ontrol; ME: stem </w:t>
      </w:r>
      <w:r w:rsidR="00CE0270">
        <w:rPr>
          <w:rFonts w:cs="Times New Roman"/>
          <w:szCs w:val="16"/>
        </w:rPr>
        <w:t>e</w:t>
      </w:r>
      <w:r w:rsidRPr="00374E10">
        <w:rPr>
          <w:rFonts w:cs="Times New Roman"/>
          <w:szCs w:val="16"/>
        </w:rPr>
        <w:t xml:space="preserve">xtract; MM: stem extract </w:t>
      </w:r>
      <w:r w:rsidR="00CE0270">
        <w:rPr>
          <w:rFonts w:cs="Times New Roman"/>
          <w:szCs w:val="16"/>
        </w:rPr>
        <w:t>m</w:t>
      </w:r>
      <w:r w:rsidRPr="00374E10">
        <w:rPr>
          <w:rFonts w:cs="Times New Roman"/>
          <w:szCs w:val="16"/>
        </w:rPr>
        <w:t>ixed with SO</w:t>
      </w:r>
      <w:r w:rsidRPr="00374E10">
        <w:rPr>
          <w:rFonts w:cs="Times New Roman"/>
          <w:szCs w:val="16"/>
          <w:vertAlign w:val="subscript"/>
        </w:rPr>
        <w:t>2</w:t>
      </w:r>
      <w:r w:rsidRPr="00374E10">
        <w:rPr>
          <w:rFonts w:cs="Times New Roman"/>
          <w:szCs w:val="16"/>
        </w:rPr>
        <w:t>; MS: stem</w:t>
      </w:r>
      <w:r w:rsidR="00CE0270">
        <w:rPr>
          <w:rFonts w:cs="Times New Roman"/>
          <w:szCs w:val="16"/>
        </w:rPr>
        <w:t xml:space="preserve"> powder</w:t>
      </w:r>
      <w:r w:rsidRPr="00374E10">
        <w:rPr>
          <w:rFonts w:cs="Times New Roman"/>
          <w:szCs w:val="16"/>
        </w:rPr>
        <w:t>.</w:t>
      </w:r>
    </w:p>
    <w:p w14:paraId="256C8E9D" w14:textId="3F2F2144" w:rsidR="00DB7617" w:rsidRPr="00DB7617" w:rsidRDefault="00DB7617" w:rsidP="00374E10">
      <w:pPr>
        <w:pStyle w:val="MDPI43tablefooter"/>
        <w:ind w:left="142"/>
        <w:rPr>
          <w:sz w:val="16"/>
          <w:szCs w:val="16"/>
        </w:rPr>
      </w:pPr>
      <w:r w:rsidRPr="00374E10">
        <w:rPr>
          <w:szCs w:val="16"/>
        </w:rPr>
        <w:t xml:space="preserve">50%AF: mid alcoholic fermentation; AF: end of alcoholic fermentation; MLF: end of malolactic fermentation; YB: after one year in the </w:t>
      </w:r>
      <w:r w:rsidRPr="00DB7617">
        <w:rPr>
          <w:sz w:val="16"/>
          <w:szCs w:val="16"/>
        </w:rPr>
        <w:t>bottle.</w:t>
      </w:r>
    </w:p>
    <w:p w14:paraId="5203B171" w14:textId="72BB27DF" w:rsidR="00BC1EEF" w:rsidRDefault="00BC1EEF" w:rsidP="00BC1EEF">
      <w:pPr>
        <w:pStyle w:val="MDPI31text"/>
        <w:spacing w:after="60" w:line="240" w:lineRule="auto"/>
        <w:ind w:left="1559" w:right="1276" w:firstLine="0"/>
        <w:rPr>
          <w:rFonts w:cstheme="majorBidi"/>
          <w:b/>
          <w:szCs w:val="20"/>
        </w:rPr>
      </w:pPr>
    </w:p>
    <w:p w14:paraId="10F57E77" w14:textId="350156CD" w:rsidR="00BC1EEF" w:rsidRDefault="00BC1EEF" w:rsidP="00BC1EEF">
      <w:pPr>
        <w:pStyle w:val="MDPI31text"/>
        <w:spacing w:after="60" w:line="240" w:lineRule="auto"/>
        <w:ind w:left="1559" w:right="1276" w:firstLine="0"/>
        <w:rPr>
          <w:rFonts w:cstheme="majorBidi"/>
          <w:b/>
          <w:szCs w:val="20"/>
        </w:rPr>
      </w:pPr>
    </w:p>
    <w:p w14:paraId="0F6BB976" w14:textId="32B6A62E" w:rsidR="00BC1EEF" w:rsidRDefault="00BC1EEF" w:rsidP="00BC1EEF">
      <w:pPr>
        <w:pStyle w:val="MDPI31text"/>
        <w:spacing w:after="60" w:line="240" w:lineRule="auto"/>
        <w:ind w:left="1559" w:right="1276" w:firstLine="0"/>
        <w:rPr>
          <w:rFonts w:cstheme="majorBidi"/>
          <w:b/>
          <w:szCs w:val="20"/>
        </w:rPr>
      </w:pPr>
    </w:p>
    <w:p w14:paraId="7DC8B5EA" w14:textId="23D3D67E" w:rsidR="00BC1EEF" w:rsidRDefault="00BC1EEF">
      <w:pPr>
        <w:spacing w:after="160" w:line="259" w:lineRule="auto"/>
        <w:jc w:val="left"/>
        <w:rPr>
          <w:rFonts w:eastAsia="Times New Roman" w:cstheme="majorBidi"/>
          <w:b/>
          <w:lang w:eastAsia="de-DE" w:bidi="en-US"/>
        </w:rPr>
      </w:pPr>
      <w:r>
        <w:rPr>
          <w:rFonts w:cstheme="majorBidi"/>
          <w:b/>
        </w:rPr>
        <w:br w:type="page"/>
      </w:r>
    </w:p>
    <w:p w14:paraId="5E94655A" w14:textId="77777777" w:rsidR="00F15066" w:rsidRDefault="00F15066" w:rsidP="00D709B9">
      <w:pPr>
        <w:pStyle w:val="MDPI41tablecaption"/>
        <w:ind w:left="2552" w:right="2528"/>
        <w:rPr>
          <w:rFonts w:cstheme="majorBidi"/>
          <w:b/>
          <w:sz w:val="20"/>
          <w:szCs w:val="20"/>
        </w:rPr>
      </w:pPr>
    </w:p>
    <w:p w14:paraId="14BDC29F" w14:textId="6AEE99EF" w:rsidR="00B55A5A" w:rsidRPr="00BC1EEF" w:rsidRDefault="00B55A5A" w:rsidP="00D709B9">
      <w:pPr>
        <w:pStyle w:val="MDPI41tablecaption"/>
        <w:ind w:left="2552" w:right="2528"/>
        <w:rPr>
          <w:rFonts w:cstheme="majorBidi"/>
          <w:sz w:val="20"/>
          <w:szCs w:val="20"/>
        </w:rPr>
      </w:pPr>
      <w:r w:rsidRPr="00BC1EEF">
        <w:rPr>
          <w:rFonts w:cstheme="majorBidi"/>
          <w:b/>
          <w:sz w:val="20"/>
          <w:szCs w:val="20"/>
        </w:rPr>
        <w:t>Table S</w:t>
      </w:r>
      <w:r w:rsidR="00BC1EEF">
        <w:rPr>
          <w:rFonts w:cstheme="majorBidi"/>
          <w:b/>
          <w:sz w:val="20"/>
          <w:szCs w:val="20"/>
        </w:rPr>
        <w:t>4</w:t>
      </w:r>
      <w:r w:rsidRPr="00BC1EEF">
        <w:rPr>
          <w:rFonts w:cstheme="majorBidi"/>
          <w:sz w:val="20"/>
          <w:szCs w:val="20"/>
        </w:rPr>
        <w:t>. Results of the triangle test. Two-by-two comparison of the different treatments analyzed</w:t>
      </w:r>
    </w:p>
    <w:tbl>
      <w:tblPr>
        <w:tblW w:w="4764" w:type="dxa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B55A5A" w:rsidRPr="00BC1EEF" w14:paraId="49B75A1C" w14:textId="77777777" w:rsidTr="00B55A5A">
        <w:trPr>
          <w:trHeight w:val="73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122C" w14:textId="77777777" w:rsidR="00B55A5A" w:rsidRPr="00BC1EEF" w:rsidRDefault="00B55A5A" w:rsidP="00B55A5A">
            <w:pPr>
              <w:spacing w:before="120"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F59C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A10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B79E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FDE3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F756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MS</w:t>
            </w:r>
          </w:p>
        </w:tc>
      </w:tr>
      <w:tr w:rsidR="00B55A5A" w:rsidRPr="00BC1EEF" w14:paraId="230D50E4" w14:textId="77777777" w:rsidTr="00B55A5A">
        <w:trPr>
          <w:trHeight w:val="73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309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2EE218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AA4AAE7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A3D473E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BE301DF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ECB9484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5A5A" w:rsidRPr="00BC1EEF" w14:paraId="7A2A06C9" w14:textId="77777777" w:rsidTr="00B55A5A">
        <w:trPr>
          <w:trHeight w:val="73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280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A37F0C3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1C67FE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FCE5E8F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B0E3AE9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BF6E7DD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5A5A" w:rsidRPr="00BC1EEF" w14:paraId="5117397D" w14:textId="77777777" w:rsidTr="00B55A5A">
        <w:trPr>
          <w:trHeight w:val="73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56D0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D3644E6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5FE1581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8BC98E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0C048AA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BB09A2B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5A5A" w:rsidRPr="00BC1EEF" w14:paraId="38150369" w14:textId="77777777" w:rsidTr="00B55A5A">
        <w:trPr>
          <w:trHeight w:val="73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5066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DEA0050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51B042A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87B767B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7D2181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27B1D04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5A5A" w:rsidRPr="00BC1EEF" w14:paraId="77939CC6" w14:textId="77777777" w:rsidTr="00B55A5A">
        <w:trPr>
          <w:trHeight w:val="73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AEA2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EEF">
              <w:rPr>
                <w:rFonts w:eastAsia="Times New Roman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BA84E5F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2D38455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7886110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6004E6D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CD6B21" w14:textId="77777777" w:rsidR="00B55A5A" w:rsidRPr="00BC1EEF" w:rsidRDefault="00B55A5A" w:rsidP="00B55A5A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F260EF" w14:textId="789F9112" w:rsidR="00B55A5A" w:rsidRPr="009E6131" w:rsidRDefault="00B55A5A" w:rsidP="00D709B9">
      <w:pPr>
        <w:spacing w:before="60"/>
        <w:ind w:left="2552" w:right="2528"/>
        <w:rPr>
          <w:rFonts w:asciiTheme="majorBidi" w:hAnsiTheme="majorBidi" w:cstheme="majorBidi"/>
          <w:sz w:val="24"/>
          <w:szCs w:val="24"/>
        </w:rPr>
      </w:pPr>
      <w:r w:rsidRPr="00BC1EEF">
        <w:rPr>
          <w:rFonts w:eastAsia="Times New Roman"/>
          <w:sz w:val="18"/>
          <w:szCs w:val="16"/>
          <w:lang w:eastAsia="de-DE" w:bidi="en-US"/>
        </w:rPr>
        <w:t xml:space="preserve">PC: positive control; NC: negative control; ME: </w:t>
      </w:r>
      <w:r w:rsidR="00D709B9">
        <w:rPr>
          <w:rFonts w:eastAsia="Times New Roman"/>
          <w:sz w:val="18"/>
          <w:szCs w:val="16"/>
          <w:lang w:eastAsia="de-DE" w:bidi="en-US"/>
        </w:rPr>
        <w:t xml:space="preserve">stem </w:t>
      </w:r>
      <w:r w:rsidRPr="00BC1EEF">
        <w:rPr>
          <w:rFonts w:eastAsia="Times New Roman"/>
          <w:sz w:val="18"/>
          <w:szCs w:val="16"/>
          <w:lang w:eastAsia="de-DE" w:bidi="en-US"/>
        </w:rPr>
        <w:t xml:space="preserve">extract; MM: </w:t>
      </w:r>
      <w:r w:rsidR="00D709B9">
        <w:rPr>
          <w:rFonts w:eastAsia="Times New Roman"/>
          <w:sz w:val="18"/>
          <w:szCs w:val="16"/>
          <w:lang w:eastAsia="de-DE" w:bidi="en-US"/>
        </w:rPr>
        <w:t xml:space="preserve">stem </w:t>
      </w:r>
      <w:r w:rsidRPr="00BC1EEF">
        <w:rPr>
          <w:rFonts w:eastAsia="Times New Roman"/>
          <w:sz w:val="18"/>
          <w:szCs w:val="16"/>
          <w:lang w:eastAsia="de-DE" w:bidi="en-US"/>
        </w:rPr>
        <w:t>extract mixed with SO</w:t>
      </w:r>
      <w:r w:rsidRPr="00BC1EEF">
        <w:rPr>
          <w:rFonts w:eastAsia="Times New Roman"/>
          <w:sz w:val="18"/>
          <w:szCs w:val="16"/>
          <w:vertAlign w:val="subscript"/>
          <w:lang w:eastAsia="de-DE" w:bidi="en-US"/>
        </w:rPr>
        <w:t>2</w:t>
      </w:r>
      <w:r w:rsidRPr="00BC1EEF">
        <w:rPr>
          <w:rFonts w:eastAsia="Times New Roman"/>
          <w:sz w:val="18"/>
          <w:szCs w:val="16"/>
          <w:lang w:eastAsia="de-DE" w:bidi="en-US"/>
        </w:rPr>
        <w:t>; MS: stem</w:t>
      </w:r>
      <w:r w:rsidR="00D709B9">
        <w:rPr>
          <w:rFonts w:eastAsia="Times New Roman"/>
          <w:sz w:val="18"/>
          <w:szCs w:val="16"/>
          <w:lang w:eastAsia="de-DE" w:bidi="en-US"/>
        </w:rPr>
        <w:t xml:space="preserve"> powder</w:t>
      </w:r>
      <w:r w:rsidRPr="00BC1EEF">
        <w:rPr>
          <w:rFonts w:eastAsia="Times New Roman"/>
          <w:sz w:val="18"/>
          <w:szCs w:val="16"/>
          <w:lang w:eastAsia="de-DE" w:bidi="en-US"/>
        </w:rPr>
        <w:t>. Red color indicates that both samples are organoleptically different and green color indicates that the samples could not be organoleptically differentiated. The confidence level of these results was 99%.</w:t>
      </w:r>
    </w:p>
    <w:p w14:paraId="6C04AF73" w14:textId="0A4E09CC" w:rsidR="00320C50" w:rsidRDefault="00320C50"/>
    <w:p w14:paraId="570B205E" w14:textId="330BE0B5" w:rsidR="00A24C23" w:rsidRDefault="00A24C23" w:rsidP="00A24C2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</w:t>
      </w:r>
      <w:r w:rsidRPr="00C844F9">
        <w:rPr>
          <w:rFonts w:ascii="Times New Roman" w:hAnsi="Times New Roman"/>
          <w:sz w:val="24"/>
          <w:szCs w:val="24"/>
        </w:rPr>
        <w:t xml:space="preserve">amples marked as different in this table can be differentiated by 100% of the population with 99% confidence. </w:t>
      </w:r>
    </w:p>
    <w:p w14:paraId="623929ED" w14:textId="77777777" w:rsidR="00A24C23" w:rsidRDefault="00A24C23">
      <w:pPr>
        <w:rPr>
          <w:rFonts w:ascii="Times New Roman" w:hAnsi="Times New Roman"/>
          <w:sz w:val="24"/>
          <w:szCs w:val="24"/>
        </w:rPr>
      </w:pPr>
    </w:p>
    <w:p w14:paraId="5FDCAFAE" w14:textId="77777777" w:rsidR="00A24C23" w:rsidRPr="002C00A7" w:rsidRDefault="00A24C23"/>
    <w:sectPr w:rsidR="00A24C23" w:rsidRPr="002C00A7" w:rsidSect="00FB74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B2"/>
    <w:rsid w:val="00052628"/>
    <w:rsid w:val="00154345"/>
    <w:rsid w:val="00177F0A"/>
    <w:rsid w:val="00185B0D"/>
    <w:rsid w:val="002C00A7"/>
    <w:rsid w:val="00320C50"/>
    <w:rsid w:val="00367B60"/>
    <w:rsid w:val="00374E10"/>
    <w:rsid w:val="003B602E"/>
    <w:rsid w:val="003F07A9"/>
    <w:rsid w:val="003F4799"/>
    <w:rsid w:val="00405996"/>
    <w:rsid w:val="00481C7B"/>
    <w:rsid w:val="004C5C52"/>
    <w:rsid w:val="004E5A75"/>
    <w:rsid w:val="00523E70"/>
    <w:rsid w:val="006926E5"/>
    <w:rsid w:val="006C7716"/>
    <w:rsid w:val="006F1E11"/>
    <w:rsid w:val="007978CF"/>
    <w:rsid w:val="00800910"/>
    <w:rsid w:val="00964DB2"/>
    <w:rsid w:val="00A03937"/>
    <w:rsid w:val="00A24C23"/>
    <w:rsid w:val="00AA04C9"/>
    <w:rsid w:val="00B367D9"/>
    <w:rsid w:val="00B55A5A"/>
    <w:rsid w:val="00B713B6"/>
    <w:rsid w:val="00BB7C29"/>
    <w:rsid w:val="00BC1EEF"/>
    <w:rsid w:val="00BF27D0"/>
    <w:rsid w:val="00CE0270"/>
    <w:rsid w:val="00CE0616"/>
    <w:rsid w:val="00D302F3"/>
    <w:rsid w:val="00D709B9"/>
    <w:rsid w:val="00DA77AD"/>
    <w:rsid w:val="00DB7617"/>
    <w:rsid w:val="00E66B50"/>
    <w:rsid w:val="00EA311E"/>
    <w:rsid w:val="00EC05FB"/>
    <w:rsid w:val="00F15066"/>
    <w:rsid w:val="00FA40E5"/>
    <w:rsid w:val="00FB7455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2FCF"/>
  <w15:chartTrackingRefBased/>
  <w15:docId w15:val="{CA08E0FF-08FB-4BEC-9A4E-FBE84D93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799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64D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DB2"/>
    <w:pPr>
      <w:spacing w:after="160" w:line="240" w:lineRule="auto"/>
      <w:jc w:val="left"/>
    </w:pPr>
    <w:rPr>
      <w:rFonts w:asciiTheme="minorHAnsi" w:eastAsiaTheme="minorHAnsi" w:hAnsiTheme="minorHAnsi" w:cstheme="minorBidi"/>
      <w:color w:val="auto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DB2"/>
    <w:rPr>
      <w:sz w:val="20"/>
      <w:szCs w:val="20"/>
    </w:rPr>
  </w:style>
  <w:style w:type="table" w:styleId="Tablanormal4">
    <w:name w:val="Plain Table 4"/>
    <w:basedOn w:val="Tablanormal"/>
    <w:uiPriority w:val="44"/>
    <w:rsid w:val="00964DB2"/>
    <w:pPr>
      <w:spacing w:after="0" w:line="240" w:lineRule="auto"/>
    </w:pPr>
    <w:rPr>
      <w:lang w:val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64D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C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2C00A7"/>
    <w:pPr>
      <w:suppressAutoHyphens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21heading1">
    <w:name w:val="MDPI_2.1_heading1"/>
    <w:qFormat/>
    <w:rsid w:val="002C00A7"/>
    <w:pPr>
      <w:suppressAutoHyphens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31text">
    <w:name w:val="MDPI_3.1_text"/>
    <w:qFormat/>
    <w:rsid w:val="002C00A7"/>
    <w:pPr>
      <w:suppressAutoHyphens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42tablebody">
    <w:name w:val="MDPI_4.2_table_body"/>
    <w:qFormat/>
    <w:rsid w:val="002C00A7"/>
    <w:pPr>
      <w:suppressAutoHyphens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4E5A75"/>
    <w:pPr>
      <w:ind w:firstLine="0"/>
    </w:pPr>
  </w:style>
  <w:style w:type="paragraph" w:customStyle="1" w:styleId="MDPI43tablefooter">
    <w:name w:val="MDPI_4.3_table_footer"/>
    <w:next w:val="MDPI31text"/>
    <w:qFormat/>
    <w:rsid w:val="00154345"/>
    <w:pPr>
      <w:suppressAutoHyphens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AED4-52C8-4B2F-BCED-F5F8CFE4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PIRES NOGUEIRA</dc:creator>
  <cp:keywords/>
  <dc:description/>
  <cp:lastModifiedBy>Teresa Iturgaiz</cp:lastModifiedBy>
  <cp:revision>2</cp:revision>
  <dcterms:created xsi:type="dcterms:W3CDTF">2023-05-02T17:17:00Z</dcterms:created>
  <dcterms:modified xsi:type="dcterms:W3CDTF">2023-05-02T17:17:00Z</dcterms:modified>
</cp:coreProperties>
</file>