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1CA9" w14:textId="77777777" w:rsidR="00465503" w:rsidRPr="00497A22" w:rsidRDefault="00497A22" w:rsidP="00497A22">
      <w:pPr>
        <w:jc w:val="both"/>
        <w:rPr>
          <w:rFonts w:ascii="Times New Roman" w:hAnsi="Times New Roman" w:cs="Times New Roman"/>
          <w:b/>
          <w:bCs/>
          <w:i/>
          <w:sz w:val="24"/>
        </w:rPr>
      </w:pPr>
      <w:bookmarkStart w:id="0" w:name="_GoBack"/>
      <w:bookmarkEnd w:id="0"/>
      <w:r>
        <w:rPr>
          <w:rFonts w:ascii="Times New Roman" w:hAnsi="Times New Roman" w:cs="Times New Roman"/>
          <w:b/>
          <w:bCs/>
          <w:i/>
          <w:sz w:val="24"/>
        </w:rPr>
        <w:t>Controll</w:t>
      </w:r>
      <w:r w:rsidRPr="00497A22">
        <w:rPr>
          <w:rFonts w:ascii="Times New Roman" w:hAnsi="Times New Roman" w:cs="Times New Roman"/>
          <w:b/>
          <w:bCs/>
          <w:i/>
          <w:sz w:val="24"/>
        </w:rPr>
        <w:t>ing biases</w:t>
      </w:r>
    </w:p>
    <w:p w14:paraId="696F60A6" w14:textId="77777777" w:rsidR="00497A22" w:rsidRDefault="00497A22" w:rsidP="00497A22">
      <w:pPr>
        <w:jc w:val="both"/>
        <w:rPr>
          <w:rFonts w:ascii="Times New Roman" w:hAnsi="Times New Roman" w:cs="Times New Roman"/>
          <w:b/>
          <w:bCs/>
          <w:i/>
          <w:sz w:val="24"/>
        </w:rPr>
      </w:pPr>
      <w:r>
        <w:rPr>
          <w:rFonts w:ascii="Times New Roman" w:hAnsi="Times New Roman" w:cs="Times New Roman"/>
          <w:b/>
          <w:bCs/>
          <w:i/>
          <w:sz w:val="24"/>
        </w:rPr>
        <w:t>Using of Likert-scales of 11 points</w:t>
      </w:r>
    </w:p>
    <w:p w14:paraId="70DBB7AA" w14:textId="77777777" w:rsidR="00497A22" w:rsidRDefault="00497A22" w:rsidP="00497A22">
      <w:pPr>
        <w:jc w:val="both"/>
        <w:rPr>
          <w:rFonts w:ascii="Times New Roman" w:hAnsi="Times New Roman" w:cs="Times New Roman"/>
          <w:i/>
          <w:sz w:val="24"/>
        </w:rPr>
      </w:pPr>
      <w:r w:rsidRPr="002004A6">
        <w:rPr>
          <w:rFonts w:ascii="Times New Roman" w:hAnsi="Times New Roman" w:cs="Times New Roman"/>
          <w:i/>
          <w:sz w:val="24"/>
        </w:rPr>
        <w:t>Batista-</w:t>
      </w:r>
      <w:proofErr w:type="spellStart"/>
      <w:r w:rsidRPr="002004A6">
        <w:rPr>
          <w:rFonts w:ascii="Times New Roman" w:hAnsi="Times New Roman" w:cs="Times New Roman"/>
          <w:i/>
          <w:sz w:val="24"/>
        </w:rPr>
        <w:t>Foguet</w:t>
      </w:r>
      <w:proofErr w:type="spellEnd"/>
      <w:r w:rsidRPr="002004A6">
        <w:rPr>
          <w:rFonts w:ascii="Times New Roman" w:hAnsi="Times New Roman" w:cs="Times New Roman"/>
          <w:i/>
          <w:sz w:val="24"/>
        </w:rPr>
        <w:t xml:space="preserve"> et al. (2009, p. 580) conclude that “the 11-point scale should be used (due to) its higher measurement quality in our European and Latin American sample”. These same authors evidence that “the tradition of using 11-point scales in Europe appears in academic and educational settings from primary school upwards” (Batista-</w:t>
      </w:r>
      <w:proofErr w:type="spellStart"/>
      <w:r w:rsidRPr="002004A6">
        <w:rPr>
          <w:rFonts w:ascii="Times New Roman" w:hAnsi="Times New Roman" w:cs="Times New Roman"/>
          <w:i/>
          <w:sz w:val="24"/>
        </w:rPr>
        <w:t>Foguet</w:t>
      </w:r>
      <w:proofErr w:type="spellEnd"/>
      <w:r w:rsidRPr="002004A6">
        <w:rPr>
          <w:rFonts w:ascii="Times New Roman" w:hAnsi="Times New Roman" w:cs="Times New Roman"/>
          <w:i/>
          <w:sz w:val="24"/>
        </w:rPr>
        <w:t xml:space="preserve"> et al. (2009, p. 575). As we performed our analysis in the Spanish context, we decided to use this scale, which is really frequent in this cultural environment</w:t>
      </w:r>
      <w:r w:rsidRPr="00616B53">
        <w:rPr>
          <w:rFonts w:ascii="Times New Roman" w:hAnsi="Times New Roman" w:cs="Times New Roman"/>
          <w:i/>
          <w:sz w:val="24"/>
        </w:rPr>
        <w:t xml:space="preserve">. </w:t>
      </w:r>
    </w:p>
    <w:p w14:paraId="3821DC29" w14:textId="77777777" w:rsidR="00497A22" w:rsidRPr="00497A22" w:rsidRDefault="00497A22" w:rsidP="00497A22">
      <w:pPr>
        <w:jc w:val="both"/>
        <w:rPr>
          <w:rFonts w:ascii="Times New Roman" w:hAnsi="Times New Roman" w:cs="Times New Roman"/>
          <w:b/>
          <w:i/>
          <w:sz w:val="24"/>
        </w:rPr>
      </w:pPr>
      <w:r w:rsidRPr="00497A22">
        <w:rPr>
          <w:rFonts w:ascii="Times New Roman" w:hAnsi="Times New Roman" w:cs="Times New Roman"/>
          <w:b/>
          <w:i/>
          <w:sz w:val="24"/>
        </w:rPr>
        <w:t>Common method bias</w:t>
      </w:r>
    </w:p>
    <w:p w14:paraId="0607DDDA" w14:textId="77777777" w:rsidR="00497A22" w:rsidRPr="00497A22" w:rsidRDefault="00497A22" w:rsidP="00497A22">
      <w:pPr>
        <w:jc w:val="both"/>
        <w:rPr>
          <w:rFonts w:ascii="Times New Roman" w:hAnsi="Times New Roman" w:cs="Times New Roman"/>
          <w:i/>
          <w:sz w:val="24"/>
        </w:rPr>
      </w:pPr>
      <w:r w:rsidRPr="00497A22">
        <w:rPr>
          <w:rFonts w:ascii="Times New Roman" w:hAnsi="Times New Roman" w:cs="Times New Roman"/>
          <w:i/>
          <w:sz w:val="24"/>
        </w:rPr>
        <w:t>Following Chang et al (2010) and Podsakoff and Organ (1986), we adopted ex-ante measures at the research design stage to control for the potential bias associated with the analysis of data obtained from the same respondents and in the same measurement context, using the same item context and similar item characteristics:</w:t>
      </w:r>
    </w:p>
    <w:p w14:paraId="76D69636" w14:textId="77777777" w:rsidR="00497A22" w:rsidRPr="00497A22" w:rsidRDefault="00497A22" w:rsidP="00497A22">
      <w:pPr>
        <w:jc w:val="both"/>
        <w:rPr>
          <w:rFonts w:ascii="Times New Roman" w:hAnsi="Times New Roman" w:cs="Times New Roman"/>
          <w:i/>
          <w:sz w:val="24"/>
        </w:rPr>
      </w:pPr>
      <w:r w:rsidRPr="00497A22">
        <w:rPr>
          <w:rFonts w:ascii="Times New Roman" w:hAnsi="Times New Roman" w:cs="Times New Roman"/>
          <w:i/>
          <w:sz w:val="24"/>
        </w:rPr>
        <w:t xml:space="preserve">a) To reduce potential respondent misunderstandings, the questionnaire was validated by a panel of experts from the academic (5 members), professional (5 members) and public administrations (2 members), who were asked to assess the content of the questions, as well as the way in which these questions were presented, and also asked to evaluate the comprehension level of the indicators. The five university professors belonged to four research areas: general management (2), marketing (1), accounting (1) and statistics (1). The five professionals were managers of nonprofit organizations (2), managers from two </w:t>
      </w:r>
      <w:proofErr w:type="spellStart"/>
      <w:r w:rsidRPr="00497A22">
        <w:rPr>
          <w:rFonts w:ascii="Times New Roman" w:hAnsi="Times New Roman" w:cs="Times New Roman"/>
          <w:i/>
          <w:sz w:val="24"/>
        </w:rPr>
        <w:t>Aragonese</w:t>
      </w:r>
      <w:proofErr w:type="spellEnd"/>
      <w:r w:rsidRPr="00497A22">
        <w:rPr>
          <w:rFonts w:ascii="Times New Roman" w:hAnsi="Times New Roman" w:cs="Times New Roman"/>
          <w:i/>
          <w:sz w:val="24"/>
        </w:rPr>
        <w:t xml:space="preserve"> associations for nonprofit organizations (2) and an auditor specialized in nonprofit accounting (1). Finally, we included two public servants, the registrar of nonprofit organizations in Aragon (1) and the responsible for the monitoring office for nonprofit organizations in this region (1). The feedback from the panel was included in a revised version of the questionnaire. </w:t>
      </w:r>
    </w:p>
    <w:p w14:paraId="214D814B" w14:textId="77777777" w:rsidR="00497A22" w:rsidRPr="00497A22" w:rsidRDefault="00497A22" w:rsidP="00497A22">
      <w:pPr>
        <w:jc w:val="both"/>
        <w:rPr>
          <w:rFonts w:ascii="Times New Roman" w:hAnsi="Times New Roman" w:cs="Times New Roman"/>
          <w:i/>
          <w:sz w:val="24"/>
        </w:rPr>
      </w:pPr>
      <w:r w:rsidRPr="00497A22">
        <w:rPr>
          <w:rFonts w:ascii="Times New Roman" w:hAnsi="Times New Roman" w:cs="Times New Roman"/>
          <w:i/>
          <w:sz w:val="24"/>
        </w:rPr>
        <w:t>b) We also provided respondents with the opportunity to complete the survey guarantying complete confidentiality, making specific reference to current data protection legislation. It was highlighted that there were being no right or wrong answers, respondents should answer the survey questions as honestly as possible.</w:t>
      </w:r>
    </w:p>
    <w:p w14:paraId="3565CE79" w14:textId="77777777" w:rsidR="00497A22" w:rsidRPr="00497A22" w:rsidRDefault="00497A22" w:rsidP="00497A22">
      <w:pPr>
        <w:jc w:val="both"/>
        <w:rPr>
          <w:rFonts w:ascii="Times New Roman" w:hAnsi="Times New Roman" w:cs="Times New Roman"/>
          <w:i/>
          <w:sz w:val="24"/>
        </w:rPr>
      </w:pPr>
      <w:r>
        <w:rPr>
          <w:rFonts w:ascii="Times New Roman" w:hAnsi="Times New Roman" w:cs="Times New Roman"/>
          <w:i/>
          <w:sz w:val="24"/>
        </w:rPr>
        <w:t xml:space="preserve">c) </w:t>
      </w:r>
      <w:r w:rsidRPr="00497A22">
        <w:rPr>
          <w:rFonts w:ascii="Times New Roman" w:hAnsi="Times New Roman" w:cs="Times New Roman"/>
          <w:i/>
          <w:sz w:val="24"/>
        </w:rPr>
        <w:t xml:space="preserve">Additionally, we considered other ex-ante remedies to prevent potential bias in our data analysis (Chang et al., 2010; Podsakoff, et al., 2012). We conducted a pilot survey to validate and test our measures in one nonprofit organization. After receiving verbal and written feedback from respondents, we reviewed and polished some of the items in our measures. Secondly, we focused our survey on the managers of </w:t>
      </w:r>
      <w:proofErr w:type="spellStart"/>
      <w:r w:rsidRPr="00497A22">
        <w:rPr>
          <w:rFonts w:ascii="Times New Roman" w:hAnsi="Times New Roman" w:cs="Times New Roman"/>
          <w:i/>
          <w:sz w:val="24"/>
        </w:rPr>
        <w:t>Aragonese</w:t>
      </w:r>
      <w:proofErr w:type="spellEnd"/>
      <w:r w:rsidRPr="00497A22">
        <w:rPr>
          <w:rFonts w:ascii="Times New Roman" w:hAnsi="Times New Roman" w:cs="Times New Roman"/>
          <w:i/>
          <w:sz w:val="24"/>
        </w:rPr>
        <w:t xml:space="preserve"> nonprofit organizations and we gathered our data using an on-line survey. We also reassured them about the confidentiality of the data. Participants were made aware of the fact that the survey data was for research purposes only rather than commercial or political. </w:t>
      </w:r>
    </w:p>
    <w:p w14:paraId="1DAEC297" w14:textId="77777777" w:rsidR="00497A22" w:rsidRPr="00497A22" w:rsidRDefault="00497A22" w:rsidP="00497A22">
      <w:pPr>
        <w:jc w:val="both"/>
        <w:rPr>
          <w:rFonts w:ascii="Times New Roman" w:hAnsi="Times New Roman" w:cs="Times New Roman"/>
          <w:i/>
          <w:sz w:val="24"/>
        </w:rPr>
      </w:pPr>
      <w:r>
        <w:rPr>
          <w:rFonts w:ascii="Times New Roman" w:hAnsi="Times New Roman" w:cs="Times New Roman"/>
          <w:i/>
          <w:sz w:val="24"/>
        </w:rPr>
        <w:t xml:space="preserve">d) </w:t>
      </w:r>
      <w:r w:rsidRPr="00497A22">
        <w:rPr>
          <w:rFonts w:ascii="Times New Roman" w:hAnsi="Times New Roman" w:cs="Times New Roman"/>
          <w:i/>
          <w:sz w:val="24"/>
        </w:rPr>
        <w:t xml:space="preserve">Although ex-ante remedies are needed to reduce problems in the comprehension phase of the survey process; they are not sufficient to enable us to completely avoid potential selection and common method biases (Chang et al., 2010). Hence, we applied ex-post statistical control strategies to test for common method bias. To control for common method variance, we used Harman’s single-factor test. All the observed variables were </w:t>
      </w:r>
      <w:r w:rsidRPr="00497A22">
        <w:rPr>
          <w:rFonts w:ascii="Times New Roman" w:hAnsi="Times New Roman" w:cs="Times New Roman"/>
          <w:i/>
          <w:sz w:val="24"/>
        </w:rPr>
        <w:lastRenderedPageBreak/>
        <w:t>subjected to principal components analysis, and the first un-rotated component explains less than 14.398 percent of the variance. Furthermore, we estimated a single-factor confirmatory model for each dimension. The estimated models had a bad fit:</w:t>
      </w:r>
    </w:p>
    <w:p w14:paraId="546BCB09" w14:textId="77777777" w:rsidR="00497A22" w:rsidRPr="00497A22" w:rsidRDefault="00497A22" w:rsidP="00497A22">
      <w:pPr>
        <w:jc w:val="both"/>
        <w:rPr>
          <w:rFonts w:ascii="Times New Roman" w:hAnsi="Times New Roman" w:cs="Times New Roman"/>
          <w:i/>
          <w:sz w:val="24"/>
        </w:rPr>
      </w:pPr>
      <w:r w:rsidRPr="00497A22">
        <w:rPr>
          <w:rFonts w:ascii="Times New Roman" w:hAnsi="Times New Roman" w:cs="Times New Roman"/>
          <w:i/>
          <w:sz w:val="24"/>
        </w:rPr>
        <w:t>a) Economic dimension: (</w:t>
      </w:r>
      <w:r w:rsidRPr="00584724">
        <w:rPr>
          <w:rFonts w:ascii="Symbol" w:hAnsi="Symbol" w:cs="Times New Roman"/>
          <w:i/>
          <w:sz w:val="24"/>
        </w:rPr>
        <w:t></w:t>
      </w:r>
      <w:r w:rsidRPr="00497A22">
        <w:rPr>
          <w:rFonts w:ascii="Times New Roman" w:hAnsi="Times New Roman" w:cs="Times New Roman"/>
          <w:i/>
          <w:sz w:val="24"/>
        </w:rPr>
        <w:t>2[</w:t>
      </w:r>
      <w:proofErr w:type="gramStart"/>
      <w:r w:rsidRPr="00497A22">
        <w:rPr>
          <w:rFonts w:ascii="Times New Roman" w:hAnsi="Times New Roman" w:cs="Times New Roman"/>
          <w:i/>
          <w:sz w:val="24"/>
        </w:rPr>
        <w:t>44]=</w:t>
      </w:r>
      <w:proofErr w:type="gramEnd"/>
      <w:r w:rsidRPr="00497A22">
        <w:rPr>
          <w:rFonts w:ascii="Times New Roman" w:hAnsi="Times New Roman" w:cs="Times New Roman"/>
          <w:i/>
          <w:sz w:val="24"/>
        </w:rPr>
        <w:t xml:space="preserve">474.537, RMSEA=0.283, SRMR=0.201 and CFI=0.341). </w:t>
      </w:r>
    </w:p>
    <w:p w14:paraId="4658EA3E" w14:textId="77777777" w:rsidR="00497A22" w:rsidRPr="00497A22" w:rsidRDefault="00497A22" w:rsidP="00497A22">
      <w:pPr>
        <w:jc w:val="both"/>
        <w:rPr>
          <w:rFonts w:ascii="Times New Roman" w:hAnsi="Times New Roman" w:cs="Times New Roman"/>
          <w:i/>
          <w:sz w:val="24"/>
        </w:rPr>
      </w:pPr>
      <w:r w:rsidRPr="00497A22">
        <w:rPr>
          <w:rFonts w:ascii="Times New Roman" w:hAnsi="Times New Roman" w:cs="Times New Roman"/>
          <w:i/>
          <w:sz w:val="24"/>
        </w:rPr>
        <w:t>b) Social dimension: (</w:t>
      </w:r>
      <w:r w:rsidRPr="00584724">
        <w:rPr>
          <w:rFonts w:ascii="Symbol" w:hAnsi="Symbol" w:cs="Times New Roman"/>
          <w:i/>
          <w:sz w:val="24"/>
        </w:rPr>
        <w:t></w:t>
      </w:r>
      <w:r w:rsidRPr="00497A22">
        <w:rPr>
          <w:rFonts w:ascii="Times New Roman" w:hAnsi="Times New Roman" w:cs="Times New Roman"/>
          <w:i/>
          <w:sz w:val="24"/>
        </w:rPr>
        <w:t>2[</w:t>
      </w:r>
      <w:proofErr w:type="gramStart"/>
      <w:r w:rsidRPr="00497A22">
        <w:rPr>
          <w:rFonts w:ascii="Times New Roman" w:hAnsi="Times New Roman" w:cs="Times New Roman"/>
          <w:i/>
          <w:sz w:val="24"/>
        </w:rPr>
        <w:t>119]=</w:t>
      </w:r>
      <w:proofErr w:type="gramEnd"/>
      <w:r w:rsidRPr="00497A22">
        <w:rPr>
          <w:rFonts w:ascii="Times New Roman" w:hAnsi="Times New Roman" w:cs="Times New Roman"/>
          <w:i/>
          <w:sz w:val="24"/>
        </w:rPr>
        <w:t>360.097, RMSEA=0.109, SRMR=0.087 and CFI=0.691).</w:t>
      </w:r>
    </w:p>
    <w:p w14:paraId="5C1F1B6C" w14:textId="77777777" w:rsidR="00497A22" w:rsidRPr="00497A22" w:rsidRDefault="00497A22" w:rsidP="00497A22">
      <w:pPr>
        <w:jc w:val="both"/>
        <w:rPr>
          <w:rFonts w:ascii="Times New Roman" w:hAnsi="Times New Roman" w:cs="Times New Roman"/>
          <w:i/>
          <w:sz w:val="24"/>
        </w:rPr>
      </w:pPr>
      <w:r w:rsidRPr="00497A22">
        <w:rPr>
          <w:rFonts w:ascii="Times New Roman" w:hAnsi="Times New Roman" w:cs="Times New Roman"/>
          <w:i/>
          <w:sz w:val="24"/>
        </w:rPr>
        <w:t>c) Governance dimension: (</w:t>
      </w:r>
      <w:r w:rsidRPr="00584724">
        <w:rPr>
          <w:rFonts w:ascii="Symbol" w:hAnsi="Symbol" w:cs="Times New Roman"/>
          <w:i/>
          <w:sz w:val="24"/>
        </w:rPr>
        <w:t></w:t>
      </w:r>
      <w:r w:rsidRPr="00497A22">
        <w:rPr>
          <w:rFonts w:ascii="Times New Roman" w:hAnsi="Times New Roman" w:cs="Times New Roman"/>
          <w:i/>
          <w:sz w:val="24"/>
        </w:rPr>
        <w:t>2[</w:t>
      </w:r>
      <w:proofErr w:type="gramStart"/>
      <w:r w:rsidRPr="00497A22">
        <w:rPr>
          <w:rFonts w:ascii="Times New Roman" w:hAnsi="Times New Roman" w:cs="Times New Roman"/>
          <w:i/>
          <w:sz w:val="24"/>
        </w:rPr>
        <w:t>299]=</w:t>
      </w:r>
      <w:proofErr w:type="gramEnd"/>
      <w:r w:rsidRPr="00497A22">
        <w:rPr>
          <w:rFonts w:ascii="Times New Roman" w:hAnsi="Times New Roman" w:cs="Times New Roman"/>
          <w:i/>
          <w:sz w:val="24"/>
        </w:rPr>
        <w:t xml:space="preserve">856.726, RMSEA=0.105, SRMR=0.106 and CFI=0.501) </w:t>
      </w:r>
    </w:p>
    <w:p w14:paraId="306BE257" w14:textId="77777777" w:rsidR="00497A22" w:rsidRPr="00497A22" w:rsidRDefault="00497A22" w:rsidP="00497A22">
      <w:pPr>
        <w:jc w:val="both"/>
        <w:rPr>
          <w:rFonts w:ascii="Times New Roman" w:hAnsi="Times New Roman" w:cs="Times New Roman"/>
          <w:i/>
          <w:sz w:val="24"/>
        </w:rPr>
      </w:pPr>
      <w:r w:rsidRPr="00497A22">
        <w:rPr>
          <w:rFonts w:ascii="Times New Roman" w:hAnsi="Times New Roman" w:cs="Times New Roman"/>
          <w:i/>
          <w:sz w:val="24"/>
        </w:rPr>
        <w:t>Consequently, no single factor can explain the data structure. Based on the results of the Harman single-factor test, the goodness of fit of the single-factor confirmatory model and the proposed theoretical model we do not expect common method variance to be a significant problem in our research.</w:t>
      </w:r>
    </w:p>
    <w:p w14:paraId="35D6F0DC" w14:textId="77777777" w:rsidR="00497A22" w:rsidRDefault="00497A22" w:rsidP="00497A22">
      <w:pPr>
        <w:jc w:val="both"/>
        <w:rPr>
          <w:rFonts w:ascii="Times New Roman" w:hAnsi="Times New Roman" w:cs="Times New Roman"/>
          <w:i/>
          <w:sz w:val="24"/>
        </w:rPr>
      </w:pPr>
      <w:r>
        <w:rPr>
          <w:rFonts w:ascii="Times New Roman" w:hAnsi="Times New Roman" w:cs="Times New Roman"/>
          <w:i/>
          <w:sz w:val="24"/>
        </w:rPr>
        <w:t xml:space="preserve">e) </w:t>
      </w:r>
      <w:r w:rsidRPr="00497A22">
        <w:rPr>
          <w:rFonts w:ascii="Times New Roman" w:hAnsi="Times New Roman" w:cs="Times New Roman"/>
          <w:i/>
          <w:sz w:val="24"/>
        </w:rPr>
        <w:t>Finally, Chang et al (2010) consider that “common method variance is more likely to emerge in models that are overly simple”. In this study, we combine information from difference sources: a) The financial statements and activity reports deposited in the public register and, b) The information from the questionnaire. Additionally, we also highlight that the specified models are estimated step-by-step. In this sense, first, we estimate the economic, social and governance dimensions using confirmatory factor analysis. In a second step, and after obtaining the factor scores, we estimate the structural model which enables us to evaluate the relationship between the dimensions and the income structure of nonprofit organizations. Both aspects, the mixture of information from different sources together with the characteristics of the proposed model, reduce the impact of common bias variance.</w:t>
      </w:r>
    </w:p>
    <w:p w14:paraId="11E2E5D1" w14:textId="05E26365" w:rsidR="00497A22" w:rsidRPr="007A3B46" w:rsidRDefault="00A07FEE" w:rsidP="00497A22">
      <w:pPr>
        <w:jc w:val="both"/>
        <w:rPr>
          <w:rFonts w:ascii="Times New Roman" w:hAnsi="Times New Roman" w:cs="Times New Roman"/>
          <w:b/>
          <w:i/>
          <w:sz w:val="24"/>
        </w:rPr>
      </w:pPr>
      <w:r>
        <w:rPr>
          <w:rFonts w:ascii="Times New Roman" w:hAnsi="Times New Roman" w:cs="Times New Roman"/>
          <w:b/>
          <w:i/>
          <w:sz w:val="24"/>
        </w:rPr>
        <w:t xml:space="preserve">Selection </w:t>
      </w:r>
      <w:r w:rsidR="007A3B46" w:rsidRPr="007A3B46">
        <w:rPr>
          <w:rFonts w:ascii="Times New Roman" w:hAnsi="Times New Roman" w:cs="Times New Roman"/>
          <w:b/>
          <w:i/>
          <w:sz w:val="24"/>
        </w:rPr>
        <w:t>bias</w:t>
      </w:r>
    </w:p>
    <w:p w14:paraId="489737C0" w14:textId="77777777" w:rsidR="007A3B46" w:rsidRPr="007D6D81" w:rsidRDefault="001F0DCA" w:rsidP="007A3B46">
      <w:pPr>
        <w:jc w:val="both"/>
        <w:rPr>
          <w:rFonts w:ascii="Times New Roman" w:hAnsi="Times New Roman" w:cs="Times New Roman"/>
          <w:i/>
          <w:sz w:val="24"/>
        </w:rPr>
      </w:pPr>
      <w:r>
        <w:rPr>
          <w:rFonts w:ascii="Times New Roman" w:hAnsi="Times New Roman" w:cs="Times New Roman"/>
          <w:i/>
          <w:sz w:val="24"/>
        </w:rPr>
        <w:t>F</w:t>
      </w:r>
      <w:r w:rsidR="007A3B46" w:rsidRPr="007D6D81">
        <w:rPr>
          <w:rFonts w:ascii="Times New Roman" w:hAnsi="Times New Roman" w:cs="Times New Roman"/>
          <w:i/>
          <w:sz w:val="24"/>
        </w:rPr>
        <w:t>ollowing Armstrong and Overton (1977)</w:t>
      </w:r>
      <w:r>
        <w:rPr>
          <w:rFonts w:ascii="Times New Roman" w:hAnsi="Times New Roman" w:cs="Times New Roman"/>
          <w:i/>
          <w:sz w:val="24"/>
        </w:rPr>
        <w:t>,</w:t>
      </w:r>
      <w:r w:rsidR="007A3B46" w:rsidRPr="007D6D81">
        <w:rPr>
          <w:rFonts w:ascii="Times New Roman" w:hAnsi="Times New Roman" w:cs="Times New Roman"/>
          <w:i/>
          <w:sz w:val="24"/>
        </w:rPr>
        <w:t xml:space="preserve"> we compared early and late respondents of the questionnaire in the observed variables. The statistical tests for differences between means were not significant at 0.10, which suggests that this bias was not a serious problem in this research.</w:t>
      </w:r>
      <w:r>
        <w:rPr>
          <w:rFonts w:ascii="Times New Roman" w:hAnsi="Times New Roman" w:cs="Times New Roman"/>
          <w:i/>
          <w:sz w:val="24"/>
        </w:rPr>
        <w:t xml:space="preserve"> To d</w:t>
      </w:r>
      <w:r w:rsidR="007A3B46" w:rsidRPr="007D6D81">
        <w:rPr>
          <w:rFonts w:ascii="Times New Roman" w:hAnsi="Times New Roman" w:cs="Times New Roman"/>
          <w:i/>
          <w:sz w:val="24"/>
        </w:rPr>
        <w:t>o s</w:t>
      </w:r>
      <w:r>
        <w:rPr>
          <w:rFonts w:ascii="Times New Roman" w:hAnsi="Times New Roman" w:cs="Times New Roman"/>
          <w:i/>
          <w:sz w:val="24"/>
        </w:rPr>
        <w:t>o</w:t>
      </w:r>
      <w:r w:rsidR="007A3B46" w:rsidRPr="007D6D81">
        <w:rPr>
          <w:rFonts w:ascii="Times New Roman" w:hAnsi="Times New Roman" w:cs="Times New Roman"/>
          <w:i/>
          <w:sz w:val="24"/>
        </w:rPr>
        <w:t xml:space="preserve">, we have split the sample considering the median (50%/50% of participants). Table 1 shows the results for the </w:t>
      </w:r>
      <w:proofErr w:type="spellStart"/>
      <w:r w:rsidR="007A3B46" w:rsidRPr="007D6D81">
        <w:rPr>
          <w:rFonts w:ascii="Times New Roman" w:hAnsi="Times New Roman" w:cs="Times New Roman"/>
          <w:i/>
          <w:sz w:val="24"/>
        </w:rPr>
        <w:t>analysed</w:t>
      </w:r>
      <w:proofErr w:type="spellEnd"/>
      <w:r w:rsidR="007A3B46" w:rsidRPr="007D6D81">
        <w:rPr>
          <w:rFonts w:ascii="Times New Roman" w:hAnsi="Times New Roman" w:cs="Times New Roman"/>
          <w:i/>
          <w:sz w:val="24"/>
        </w:rPr>
        <w:t xml:space="preserve"> variables.</w:t>
      </w:r>
    </w:p>
    <w:p w14:paraId="6C429CC2" w14:textId="77777777" w:rsidR="007A3B46" w:rsidRPr="007D6D81" w:rsidRDefault="007A3B46" w:rsidP="007A3B46">
      <w:pPr>
        <w:rPr>
          <w:rFonts w:ascii="Times New Roman" w:hAnsi="Times New Roman" w:cs="Times New Roman"/>
          <w:i/>
          <w:sz w:val="24"/>
        </w:rPr>
      </w:pPr>
      <w:r w:rsidRPr="007D6D81">
        <w:rPr>
          <w:rFonts w:ascii="Times New Roman" w:hAnsi="Times New Roman" w:cs="Times New Roman"/>
          <w:b/>
          <w:bCs/>
          <w:i/>
          <w:sz w:val="24"/>
        </w:rPr>
        <w:t>Table 1.</w:t>
      </w:r>
      <w:r w:rsidRPr="007D6D81">
        <w:rPr>
          <w:rFonts w:ascii="Times New Roman" w:hAnsi="Times New Roman" w:cs="Times New Roman"/>
          <w:i/>
          <w:sz w:val="24"/>
        </w:rPr>
        <w:t xml:space="preserve"> t</w:t>
      </w:r>
      <w:r>
        <w:rPr>
          <w:rFonts w:ascii="Times New Roman" w:hAnsi="Times New Roman" w:cs="Times New Roman"/>
          <w:i/>
          <w:sz w:val="24"/>
        </w:rPr>
        <w:t>-</w:t>
      </w:r>
      <w:r w:rsidRPr="007D6D81">
        <w:rPr>
          <w:rFonts w:ascii="Times New Roman" w:hAnsi="Times New Roman" w:cs="Times New Roman"/>
          <w:i/>
          <w:sz w:val="24"/>
        </w:rPr>
        <w:t>test for independent samples (exogenous variables)</w:t>
      </w:r>
    </w:p>
    <w:tbl>
      <w:tblPr>
        <w:tblStyle w:val="Tablaconcuadrc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265"/>
        <w:gridCol w:w="1842"/>
        <w:gridCol w:w="65"/>
        <w:gridCol w:w="3719"/>
        <w:gridCol w:w="1320"/>
      </w:tblGrid>
      <w:tr w:rsidR="007A3B46" w:rsidRPr="00182B4E" w14:paraId="785C6CD6" w14:textId="77777777" w:rsidTr="00CD7CF1">
        <w:tc>
          <w:tcPr>
            <w:tcW w:w="2038" w:type="pct"/>
            <w:gridSpan w:val="4"/>
            <w:tcBorders>
              <w:top w:val="single" w:sz="4" w:space="0" w:color="auto"/>
              <w:bottom w:val="single" w:sz="4" w:space="0" w:color="auto"/>
            </w:tcBorders>
            <w:vAlign w:val="center"/>
          </w:tcPr>
          <w:p w14:paraId="5284C0C7" w14:textId="77777777" w:rsidR="007A3B46" w:rsidRPr="00182B4E" w:rsidRDefault="007A3B46" w:rsidP="00CD7CF1">
            <w:pPr>
              <w:spacing w:line="276" w:lineRule="auto"/>
              <w:jc w:val="center"/>
              <w:rPr>
                <w:rFonts w:ascii="Times New Roman" w:hAnsi="Times New Roman" w:cs="Times New Roman"/>
                <w:b/>
                <w:sz w:val="16"/>
                <w:szCs w:val="16"/>
              </w:rPr>
            </w:pPr>
            <w:r w:rsidRPr="00182B4E">
              <w:rPr>
                <w:rFonts w:ascii="Times New Roman" w:hAnsi="Times New Roman" w:cs="Times New Roman"/>
                <w:b/>
                <w:sz w:val="16"/>
                <w:szCs w:val="16"/>
              </w:rPr>
              <w:t>Dimension</w:t>
            </w:r>
          </w:p>
        </w:tc>
        <w:tc>
          <w:tcPr>
            <w:tcW w:w="2186" w:type="pct"/>
            <w:tcBorders>
              <w:top w:val="single" w:sz="4" w:space="0" w:color="auto"/>
              <w:bottom w:val="single" w:sz="4" w:space="0" w:color="auto"/>
            </w:tcBorders>
            <w:vAlign w:val="center"/>
          </w:tcPr>
          <w:p w14:paraId="49E46756" w14:textId="77777777" w:rsidR="007A3B46" w:rsidRPr="00182B4E" w:rsidRDefault="007A3B46" w:rsidP="00CD7CF1">
            <w:pPr>
              <w:spacing w:line="276" w:lineRule="auto"/>
              <w:jc w:val="center"/>
              <w:rPr>
                <w:rFonts w:ascii="Times New Roman" w:hAnsi="Times New Roman" w:cs="Times New Roman"/>
                <w:b/>
                <w:sz w:val="16"/>
                <w:szCs w:val="16"/>
              </w:rPr>
            </w:pPr>
            <w:r w:rsidRPr="00182B4E">
              <w:rPr>
                <w:rFonts w:ascii="Times New Roman" w:hAnsi="Times New Roman" w:cs="Times New Roman"/>
                <w:b/>
                <w:sz w:val="16"/>
                <w:szCs w:val="16"/>
              </w:rPr>
              <w:t>Indicator</w:t>
            </w:r>
          </w:p>
        </w:tc>
        <w:tc>
          <w:tcPr>
            <w:tcW w:w="776" w:type="pct"/>
            <w:tcBorders>
              <w:top w:val="single" w:sz="4" w:space="0" w:color="auto"/>
              <w:bottom w:val="single" w:sz="4" w:space="0" w:color="auto"/>
            </w:tcBorders>
            <w:vAlign w:val="center"/>
          </w:tcPr>
          <w:p w14:paraId="5A5D2E4D" w14:textId="77777777" w:rsidR="007A3B46" w:rsidRPr="00182B4E" w:rsidRDefault="007A3B46" w:rsidP="00CD7CF1">
            <w:pPr>
              <w:spacing w:line="276" w:lineRule="auto"/>
              <w:jc w:val="center"/>
              <w:rPr>
                <w:rFonts w:ascii="Times New Roman" w:hAnsi="Times New Roman" w:cs="Times New Roman"/>
                <w:b/>
                <w:sz w:val="16"/>
                <w:szCs w:val="16"/>
              </w:rPr>
            </w:pPr>
            <w:r w:rsidRPr="00182B4E">
              <w:rPr>
                <w:rFonts w:ascii="Times New Roman" w:hAnsi="Times New Roman" w:cs="Times New Roman"/>
                <w:b/>
                <w:sz w:val="16"/>
                <w:szCs w:val="16"/>
              </w:rPr>
              <w:t>50/50</w:t>
            </w:r>
          </w:p>
          <w:p w14:paraId="43C61491" w14:textId="77777777" w:rsidR="007A3B46" w:rsidRPr="00182B4E" w:rsidRDefault="007A3B46" w:rsidP="00CD7CF1">
            <w:pPr>
              <w:spacing w:line="276" w:lineRule="auto"/>
              <w:jc w:val="center"/>
              <w:rPr>
                <w:rFonts w:ascii="Times New Roman" w:hAnsi="Times New Roman" w:cs="Times New Roman"/>
                <w:b/>
                <w:sz w:val="16"/>
                <w:szCs w:val="16"/>
              </w:rPr>
            </w:pPr>
            <w:r w:rsidRPr="00182B4E">
              <w:rPr>
                <w:rFonts w:ascii="Times New Roman" w:hAnsi="Times New Roman" w:cs="Times New Roman"/>
                <w:b/>
                <w:sz w:val="16"/>
                <w:szCs w:val="16"/>
              </w:rPr>
              <w:t>t-test</w:t>
            </w:r>
          </w:p>
          <w:p w14:paraId="210FDB4A" w14:textId="77777777" w:rsidR="007A3B46" w:rsidRPr="00182B4E" w:rsidRDefault="007A3B46" w:rsidP="00CD7CF1">
            <w:pPr>
              <w:spacing w:line="276" w:lineRule="auto"/>
              <w:jc w:val="center"/>
              <w:rPr>
                <w:rFonts w:ascii="Times New Roman" w:hAnsi="Times New Roman" w:cs="Times New Roman"/>
                <w:b/>
                <w:sz w:val="16"/>
                <w:szCs w:val="16"/>
              </w:rPr>
            </w:pPr>
            <w:r w:rsidRPr="00182B4E">
              <w:rPr>
                <w:rFonts w:ascii="Times New Roman" w:hAnsi="Times New Roman" w:cs="Times New Roman"/>
                <w:b/>
                <w:sz w:val="16"/>
                <w:szCs w:val="16"/>
              </w:rPr>
              <w:t>(</w:t>
            </w:r>
            <w:proofErr w:type="spellStart"/>
            <w:r w:rsidRPr="00182B4E">
              <w:rPr>
                <w:rFonts w:ascii="Times New Roman" w:hAnsi="Times New Roman" w:cs="Times New Roman"/>
                <w:b/>
                <w:sz w:val="16"/>
                <w:szCs w:val="16"/>
              </w:rPr>
              <w:t>pvalue</w:t>
            </w:r>
            <w:proofErr w:type="spellEnd"/>
            <w:r w:rsidRPr="00182B4E">
              <w:rPr>
                <w:rFonts w:ascii="Times New Roman" w:hAnsi="Times New Roman" w:cs="Times New Roman"/>
                <w:b/>
                <w:sz w:val="16"/>
                <w:szCs w:val="16"/>
              </w:rPr>
              <w:t>)</w:t>
            </w:r>
          </w:p>
        </w:tc>
      </w:tr>
      <w:tr w:rsidR="007A3B46" w:rsidRPr="00182B4E" w14:paraId="437C9300" w14:textId="77777777" w:rsidTr="00CD7CF1">
        <w:tc>
          <w:tcPr>
            <w:tcW w:w="761" w:type="pct"/>
            <w:vMerge w:val="restart"/>
            <w:vAlign w:val="center"/>
          </w:tcPr>
          <w:p w14:paraId="0CC84E79" w14:textId="77777777" w:rsidR="007A3B46" w:rsidRPr="00182B4E" w:rsidRDefault="007A3B46" w:rsidP="00CD7CF1">
            <w:pPr>
              <w:spacing w:line="276" w:lineRule="auto"/>
              <w:rPr>
                <w:rFonts w:ascii="Times New Roman" w:hAnsi="Times New Roman" w:cs="Times New Roman"/>
                <w:b/>
                <w:sz w:val="16"/>
                <w:szCs w:val="16"/>
              </w:rPr>
            </w:pPr>
            <w:r w:rsidRPr="00182B4E">
              <w:rPr>
                <w:rFonts w:ascii="Times New Roman" w:hAnsi="Times New Roman" w:cs="Times New Roman"/>
                <w:b/>
                <w:sz w:val="16"/>
                <w:szCs w:val="16"/>
              </w:rPr>
              <w:t>Economic</w:t>
            </w:r>
          </w:p>
        </w:tc>
        <w:tc>
          <w:tcPr>
            <w:tcW w:w="1277" w:type="pct"/>
            <w:gridSpan w:val="3"/>
            <w:vMerge w:val="restart"/>
            <w:tcBorders>
              <w:top w:val="dotted" w:sz="4" w:space="0" w:color="auto"/>
            </w:tcBorders>
            <w:vAlign w:val="center"/>
          </w:tcPr>
          <w:p w14:paraId="7B772DD4" w14:textId="77777777" w:rsidR="007A3B46" w:rsidRPr="00182B4E" w:rsidRDefault="007A3B46" w:rsidP="00CD7CF1">
            <w:pPr>
              <w:spacing w:line="276" w:lineRule="auto"/>
              <w:rPr>
                <w:rFonts w:ascii="Times New Roman" w:hAnsi="Times New Roman" w:cs="Times New Roman"/>
                <w:b/>
                <w:sz w:val="16"/>
                <w:szCs w:val="16"/>
              </w:rPr>
            </w:pPr>
            <w:r w:rsidRPr="00182B4E">
              <w:rPr>
                <w:rFonts w:ascii="Times New Roman" w:hAnsi="Times New Roman" w:cs="Times New Roman"/>
                <w:b/>
                <w:sz w:val="16"/>
                <w:szCs w:val="16"/>
              </w:rPr>
              <w:t>Continuous activity</w:t>
            </w:r>
          </w:p>
        </w:tc>
        <w:tc>
          <w:tcPr>
            <w:tcW w:w="2186" w:type="pct"/>
            <w:tcBorders>
              <w:top w:val="dotted" w:sz="4" w:space="0" w:color="auto"/>
            </w:tcBorders>
          </w:tcPr>
          <w:p w14:paraId="26260EDC"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execution of the financial plan enables the detection of possible weaknesses</w:t>
            </w:r>
          </w:p>
        </w:tc>
        <w:tc>
          <w:tcPr>
            <w:tcW w:w="776" w:type="pct"/>
            <w:tcBorders>
              <w:top w:val="dotted" w:sz="4" w:space="0" w:color="auto"/>
            </w:tcBorders>
          </w:tcPr>
          <w:p w14:paraId="1D14D6AE"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0.793(0.429)</w:t>
            </w:r>
          </w:p>
        </w:tc>
      </w:tr>
      <w:tr w:rsidR="007A3B46" w:rsidRPr="00182B4E" w14:paraId="2D02D6F2" w14:textId="77777777" w:rsidTr="00CD7CF1">
        <w:tc>
          <w:tcPr>
            <w:tcW w:w="761" w:type="pct"/>
            <w:vMerge/>
            <w:vAlign w:val="center"/>
          </w:tcPr>
          <w:p w14:paraId="1D202CE9"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ign w:val="center"/>
          </w:tcPr>
          <w:p w14:paraId="7667AC2D" w14:textId="77777777" w:rsidR="007A3B46" w:rsidRPr="00182B4E" w:rsidRDefault="007A3B46" w:rsidP="00CD7CF1">
            <w:pPr>
              <w:spacing w:line="276" w:lineRule="auto"/>
              <w:rPr>
                <w:rFonts w:ascii="Times New Roman" w:hAnsi="Times New Roman" w:cs="Times New Roman"/>
                <w:b/>
                <w:sz w:val="16"/>
                <w:szCs w:val="16"/>
              </w:rPr>
            </w:pPr>
          </w:p>
        </w:tc>
        <w:tc>
          <w:tcPr>
            <w:tcW w:w="2186" w:type="pct"/>
          </w:tcPr>
          <w:p w14:paraId="024529C5" w14:textId="77777777" w:rsidR="007A3B46" w:rsidRPr="00182B4E" w:rsidRDefault="007A3B46" w:rsidP="00CD7CF1">
            <w:pPr>
              <w:spacing w:line="276" w:lineRule="auto"/>
              <w:rPr>
                <w:rFonts w:ascii="Times New Roman" w:hAnsi="Times New Roman" w:cs="Times New Roman"/>
                <w:b/>
                <w:sz w:val="16"/>
                <w:szCs w:val="16"/>
                <w:highlight w:val="yellow"/>
              </w:rPr>
            </w:pPr>
            <w:r w:rsidRPr="00182B4E">
              <w:rPr>
                <w:rFonts w:ascii="Times New Roman" w:hAnsi="Times New Roman" w:cs="Times New Roman"/>
                <w:sz w:val="16"/>
                <w:szCs w:val="16"/>
              </w:rPr>
              <w:t>The nonprofit has a monitoring system in the execution of the financial plan</w:t>
            </w:r>
          </w:p>
        </w:tc>
        <w:tc>
          <w:tcPr>
            <w:tcW w:w="776" w:type="pct"/>
          </w:tcPr>
          <w:p w14:paraId="326021F1"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0.276(0.783)</w:t>
            </w:r>
          </w:p>
        </w:tc>
      </w:tr>
      <w:tr w:rsidR="007A3B46" w:rsidRPr="00182B4E" w14:paraId="026F35A3" w14:textId="77777777" w:rsidTr="00CD7CF1">
        <w:tc>
          <w:tcPr>
            <w:tcW w:w="761" w:type="pct"/>
            <w:vMerge/>
            <w:vAlign w:val="center"/>
          </w:tcPr>
          <w:p w14:paraId="60FCDBD4"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tcBorders>
              <w:bottom w:val="single" w:sz="4" w:space="0" w:color="auto"/>
            </w:tcBorders>
            <w:vAlign w:val="center"/>
          </w:tcPr>
          <w:p w14:paraId="5F8A2CA7" w14:textId="77777777" w:rsidR="007A3B46" w:rsidRPr="00182B4E" w:rsidRDefault="007A3B46" w:rsidP="00CD7CF1">
            <w:pPr>
              <w:spacing w:line="276" w:lineRule="auto"/>
              <w:rPr>
                <w:rFonts w:ascii="Times New Roman" w:hAnsi="Times New Roman" w:cs="Times New Roman"/>
                <w:b/>
                <w:sz w:val="16"/>
                <w:szCs w:val="16"/>
              </w:rPr>
            </w:pPr>
          </w:p>
        </w:tc>
        <w:tc>
          <w:tcPr>
            <w:tcW w:w="2186" w:type="pct"/>
            <w:tcBorders>
              <w:bottom w:val="single" w:sz="4" w:space="0" w:color="auto"/>
            </w:tcBorders>
          </w:tcPr>
          <w:p w14:paraId="52DFFE4C" w14:textId="77777777" w:rsidR="007A3B46" w:rsidRPr="00182B4E" w:rsidRDefault="007A3B46" w:rsidP="00CD7CF1">
            <w:pPr>
              <w:spacing w:line="276" w:lineRule="auto"/>
              <w:rPr>
                <w:rFonts w:ascii="Times New Roman" w:hAnsi="Times New Roman" w:cs="Times New Roman"/>
                <w:b/>
                <w:sz w:val="16"/>
                <w:szCs w:val="16"/>
                <w:highlight w:val="yellow"/>
              </w:rPr>
            </w:pPr>
            <w:r w:rsidRPr="00182B4E">
              <w:rPr>
                <w:rFonts w:ascii="Times New Roman" w:hAnsi="Times New Roman" w:cs="Times New Roman"/>
                <w:sz w:val="16"/>
                <w:szCs w:val="16"/>
              </w:rPr>
              <w:t>New courses of action are defined if deviations from the financial plan are detected</w:t>
            </w:r>
          </w:p>
        </w:tc>
        <w:tc>
          <w:tcPr>
            <w:tcW w:w="776" w:type="pct"/>
            <w:tcBorders>
              <w:bottom w:val="single" w:sz="4" w:space="0" w:color="auto"/>
            </w:tcBorders>
          </w:tcPr>
          <w:p w14:paraId="762B9E92"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0.289(0.773)</w:t>
            </w:r>
          </w:p>
        </w:tc>
      </w:tr>
      <w:tr w:rsidR="007A3B46" w:rsidRPr="00182B4E" w14:paraId="37AE6CB7" w14:textId="77777777" w:rsidTr="00CD7CF1">
        <w:tc>
          <w:tcPr>
            <w:tcW w:w="761" w:type="pct"/>
            <w:vMerge w:val="restart"/>
            <w:tcBorders>
              <w:top w:val="single" w:sz="4" w:space="0" w:color="auto"/>
            </w:tcBorders>
            <w:vAlign w:val="center"/>
          </w:tcPr>
          <w:p w14:paraId="7F696595" w14:textId="77777777" w:rsidR="007A3B46" w:rsidRPr="00182B4E" w:rsidRDefault="007A3B46" w:rsidP="00CD7CF1">
            <w:pPr>
              <w:spacing w:line="276" w:lineRule="auto"/>
              <w:rPr>
                <w:rFonts w:ascii="Times New Roman" w:hAnsi="Times New Roman" w:cs="Times New Roman"/>
                <w:b/>
                <w:sz w:val="16"/>
                <w:szCs w:val="16"/>
              </w:rPr>
            </w:pPr>
            <w:r w:rsidRPr="00182B4E">
              <w:rPr>
                <w:rFonts w:ascii="Times New Roman" w:hAnsi="Times New Roman" w:cs="Times New Roman"/>
                <w:b/>
                <w:sz w:val="16"/>
                <w:szCs w:val="16"/>
              </w:rPr>
              <w:t>Social</w:t>
            </w:r>
          </w:p>
        </w:tc>
        <w:tc>
          <w:tcPr>
            <w:tcW w:w="1277" w:type="pct"/>
            <w:gridSpan w:val="3"/>
            <w:vMerge w:val="restart"/>
            <w:tcBorders>
              <w:top w:val="single" w:sz="4" w:space="0" w:color="auto"/>
            </w:tcBorders>
            <w:vAlign w:val="center"/>
          </w:tcPr>
          <w:p w14:paraId="096B0E41" w14:textId="77777777" w:rsidR="007A3B46" w:rsidRPr="00182B4E" w:rsidRDefault="007A3B46" w:rsidP="00CD7CF1">
            <w:pPr>
              <w:spacing w:line="276" w:lineRule="auto"/>
              <w:rPr>
                <w:rFonts w:ascii="Times New Roman" w:hAnsi="Times New Roman" w:cs="Times New Roman"/>
                <w:b/>
                <w:sz w:val="16"/>
                <w:szCs w:val="16"/>
              </w:rPr>
            </w:pPr>
            <w:r w:rsidRPr="00182B4E">
              <w:rPr>
                <w:rFonts w:ascii="Times New Roman" w:hAnsi="Times New Roman" w:cs="Times New Roman"/>
                <w:b/>
                <w:sz w:val="16"/>
                <w:szCs w:val="16"/>
              </w:rPr>
              <w:t>Social mission</w:t>
            </w:r>
          </w:p>
        </w:tc>
        <w:tc>
          <w:tcPr>
            <w:tcW w:w="2186" w:type="pct"/>
            <w:tcBorders>
              <w:top w:val="single" w:sz="4" w:space="0" w:color="auto"/>
            </w:tcBorders>
          </w:tcPr>
          <w:p w14:paraId="6B0E873D"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Users participate in the decision-making processes</w:t>
            </w:r>
          </w:p>
        </w:tc>
        <w:tc>
          <w:tcPr>
            <w:tcW w:w="776" w:type="pct"/>
            <w:tcBorders>
              <w:top w:val="single" w:sz="4" w:space="0" w:color="auto"/>
            </w:tcBorders>
          </w:tcPr>
          <w:p w14:paraId="27670EC5"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1.485(0.140)</w:t>
            </w:r>
          </w:p>
        </w:tc>
      </w:tr>
      <w:tr w:rsidR="007A3B46" w:rsidRPr="00182B4E" w14:paraId="6E70CC24" w14:textId="77777777" w:rsidTr="00CD7CF1">
        <w:tc>
          <w:tcPr>
            <w:tcW w:w="761" w:type="pct"/>
            <w:vMerge/>
            <w:vAlign w:val="center"/>
          </w:tcPr>
          <w:p w14:paraId="398D7775"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ign w:val="center"/>
          </w:tcPr>
          <w:p w14:paraId="032C8838" w14:textId="77777777" w:rsidR="007A3B46" w:rsidRPr="00182B4E" w:rsidRDefault="007A3B46" w:rsidP="00CD7CF1">
            <w:pPr>
              <w:spacing w:line="276" w:lineRule="auto"/>
              <w:rPr>
                <w:rFonts w:ascii="Times New Roman" w:hAnsi="Times New Roman" w:cs="Times New Roman"/>
                <w:b/>
                <w:sz w:val="16"/>
                <w:szCs w:val="16"/>
              </w:rPr>
            </w:pPr>
          </w:p>
        </w:tc>
        <w:tc>
          <w:tcPr>
            <w:tcW w:w="2186" w:type="pct"/>
          </w:tcPr>
          <w:p w14:paraId="5E726F1C"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Users share organizational ethics values</w:t>
            </w:r>
          </w:p>
        </w:tc>
        <w:tc>
          <w:tcPr>
            <w:tcW w:w="776" w:type="pct"/>
          </w:tcPr>
          <w:p w14:paraId="671D69CD"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1.637(0.104)</w:t>
            </w:r>
          </w:p>
        </w:tc>
      </w:tr>
      <w:tr w:rsidR="007A3B46" w:rsidRPr="00182B4E" w14:paraId="58077C19" w14:textId="77777777" w:rsidTr="00CD7CF1">
        <w:tc>
          <w:tcPr>
            <w:tcW w:w="761" w:type="pct"/>
            <w:vMerge/>
            <w:vAlign w:val="center"/>
          </w:tcPr>
          <w:p w14:paraId="785465C7"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ign w:val="center"/>
          </w:tcPr>
          <w:p w14:paraId="58D1884A" w14:textId="77777777" w:rsidR="007A3B46" w:rsidRPr="00182B4E" w:rsidRDefault="007A3B46" w:rsidP="00CD7CF1">
            <w:pPr>
              <w:spacing w:line="276" w:lineRule="auto"/>
              <w:rPr>
                <w:rFonts w:ascii="Times New Roman" w:hAnsi="Times New Roman" w:cs="Times New Roman"/>
                <w:b/>
                <w:sz w:val="16"/>
                <w:szCs w:val="16"/>
              </w:rPr>
            </w:pPr>
          </w:p>
        </w:tc>
        <w:tc>
          <w:tcPr>
            <w:tcW w:w="2186" w:type="pct"/>
          </w:tcPr>
          <w:p w14:paraId="7966689A"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organization has sufficient resources to lend its services</w:t>
            </w:r>
          </w:p>
        </w:tc>
        <w:tc>
          <w:tcPr>
            <w:tcW w:w="776" w:type="pct"/>
          </w:tcPr>
          <w:p w14:paraId="68C7E776"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0.836(0.404)</w:t>
            </w:r>
          </w:p>
        </w:tc>
      </w:tr>
      <w:tr w:rsidR="007A3B46" w:rsidRPr="00182B4E" w14:paraId="1BFE4518" w14:textId="77777777" w:rsidTr="00CD7CF1">
        <w:tc>
          <w:tcPr>
            <w:tcW w:w="761" w:type="pct"/>
            <w:vMerge/>
            <w:vAlign w:val="center"/>
          </w:tcPr>
          <w:p w14:paraId="3230A9F1"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ign w:val="center"/>
          </w:tcPr>
          <w:p w14:paraId="0FF45ABF" w14:textId="77777777" w:rsidR="007A3B46" w:rsidRPr="00182B4E" w:rsidRDefault="007A3B46" w:rsidP="00CD7CF1">
            <w:pPr>
              <w:spacing w:line="276" w:lineRule="auto"/>
              <w:rPr>
                <w:rFonts w:ascii="Times New Roman" w:hAnsi="Times New Roman" w:cs="Times New Roman"/>
                <w:b/>
                <w:sz w:val="16"/>
                <w:szCs w:val="16"/>
              </w:rPr>
            </w:pPr>
          </w:p>
        </w:tc>
        <w:tc>
          <w:tcPr>
            <w:tcW w:w="2186" w:type="pct"/>
          </w:tcPr>
          <w:p w14:paraId="2C49FCD9"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 xml:space="preserve">There are mechanisms to monitor the service quality </w:t>
            </w:r>
          </w:p>
        </w:tc>
        <w:tc>
          <w:tcPr>
            <w:tcW w:w="776" w:type="pct"/>
          </w:tcPr>
          <w:p w14:paraId="2D75D1CC"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-0.445(0.657)</w:t>
            </w:r>
          </w:p>
        </w:tc>
      </w:tr>
      <w:tr w:rsidR="007A3B46" w:rsidRPr="00182B4E" w14:paraId="47757FC3" w14:textId="77777777" w:rsidTr="00CD7CF1">
        <w:tc>
          <w:tcPr>
            <w:tcW w:w="761" w:type="pct"/>
            <w:vMerge/>
            <w:vAlign w:val="center"/>
          </w:tcPr>
          <w:p w14:paraId="04AD7639"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ign w:val="center"/>
          </w:tcPr>
          <w:p w14:paraId="0D9D2DA5" w14:textId="77777777" w:rsidR="007A3B46" w:rsidRPr="00182B4E" w:rsidRDefault="007A3B46" w:rsidP="00CD7CF1">
            <w:pPr>
              <w:spacing w:line="276" w:lineRule="auto"/>
              <w:rPr>
                <w:rFonts w:ascii="Times New Roman" w:hAnsi="Times New Roman" w:cs="Times New Roman"/>
                <w:b/>
                <w:sz w:val="16"/>
                <w:szCs w:val="16"/>
              </w:rPr>
            </w:pPr>
          </w:p>
        </w:tc>
        <w:tc>
          <w:tcPr>
            <w:tcW w:w="2186" w:type="pct"/>
          </w:tcPr>
          <w:p w14:paraId="61ECCA9D"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Impact of the paid workers recruitment in the local environment</w:t>
            </w:r>
          </w:p>
        </w:tc>
        <w:tc>
          <w:tcPr>
            <w:tcW w:w="776" w:type="pct"/>
          </w:tcPr>
          <w:p w14:paraId="5425C14D"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1.061(0.290)</w:t>
            </w:r>
          </w:p>
        </w:tc>
      </w:tr>
      <w:tr w:rsidR="007A3B46" w:rsidRPr="00182B4E" w14:paraId="3AF7C52D" w14:textId="77777777" w:rsidTr="00CD7CF1">
        <w:tc>
          <w:tcPr>
            <w:tcW w:w="761" w:type="pct"/>
            <w:vMerge/>
            <w:vAlign w:val="center"/>
          </w:tcPr>
          <w:p w14:paraId="01B33F0D"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ign w:val="center"/>
          </w:tcPr>
          <w:p w14:paraId="548675B7" w14:textId="77777777" w:rsidR="007A3B46" w:rsidRPr="00182B4E" w:rsidRDefault="007A3B46" w:rsidP="00CD7CF1">
            <w:pPr>
              <w:spacing w:line="276" w:lineRule="auto"/>
              <w:rPr>
                <w:rFonts w:ascii="Times New Roman" w:hAnsi="Times New Roman" w:cs="Times New Roman"/>
                <w:b/>
                <w:sz w:val="16"/>
                <w:szCs w:val="16"/>
              </w:rPr>
            </w:pPr>
          </w:p>
        </w:tc>
        <w:tc>
          <w:tcPr>
            <w:tcW w:w="2186" w:type="pct"/>
          </w:tcPr>
          <w:p w14:paraId="455EDCD4"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organization promotes the recruitment of paid workers</w:t>
            </w:r>
          </w:p>
        </w:tc>
        <w:tc>
          <w:tcPr>
            <w:tcW w:w="776" w:type="pct"/>
          </w:tcPr>
          <w:p w14:paraId="634A7858"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1.494(0.137)</w:t>
            </w:r>
          </w:p>
        </w:tc>
      </w:tr>
      <w:tr w:rsidR="007A3B46" w:rsidRPr="00182B4E" w14:paraId="55AE217B" w14:textId="77777777" w:rsidTr="00CD7CF1">
        <w:tc>
          <w:tcPr>
            <w:tcW w:w="761" w:type="pct"/>
            <w:vMerge/>
            <w:vAlign w:val="center"/>
          </w:tcPr>
          <w:p w14:paraId="4E5416D4"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ign w:val="center"/>
          </w:tcPr>
          <w:p w14:paraId="0AFCA7CC" w14:textId="77777777" w:rsidR="007A3B46" w:rsidRPr="00182B4E" w:rsidRDefault="007A3B46" w:rsidP="00CD7CF1">
            <w:pPr>
              <w:spacing w:line="276" w:lineRule="auto"/>
              <w:rPr>
                <w:rFonts w:ascii="Times New Roman" w:hAnsi="Times New Roman" w:cs="Times New Roman"/>
                <w:b/>
                <w:sz w:val="16"/>
                <w:szCs w:val="16"/>
              </w:rPr>
            </w:pPr>
          </w:p>
        </w:tc>
        <w:tc>
          <w:tcPr>
            <w:tcW w:w="2186" w:type="pct"/>
          </w:tcPr>
          <w:p w14:paraId="19BDFC5A"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organization provides formation for their paid workers</w:t>
            </w:r>
          </w:p>
        </w:tc>
        <w:tc>
          <w:tcPr>
            <w:tcW w:w="776" w:type="pct"/>
          </w:tcPr>
          <w:p w14:paraId="2886C7DD"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1.127(0.261)</w:t>
            </w:r>
          </w:p>
        </w:tc>
      </w:tr>
      <w:tr w:rsidR="007A3B46" w:rsidRPr="00182B4E" w14:paraId="6D6040A3" w14:textId="77777777" w:rsidTr="00CD7CF1">
        <w:tc>
          <w:tcPr>
            <w:tcW w:w="761" w:type="pct"/>
            <w:vMerge/>
            <w:vAlign w:val="center"/>
          </w:tcPr>
          <w:p w14:paraId="14474E5E"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ign w:val="center"/>
          </w:tcPr>
          <w:p w14:paraId="0E962818" w14:textId="77777777" w:rsidR="007A3B46" w:rsidRPr="00182B4E" w:rsidRDefault="007A3B46" w:rsidP="00CD7CF1">
            <w:pPr>
              <w:spacing w:line="276" w:lineRule="auto"/>
              <w:rPr>
                <w:rFonts w:ascii="Times New Roman" w:hAnsi="Times New Roman" w:cs="Times New Roman"/>
                <w:b/>
                <w:sz w:val="16"/>
                <w:szCs w:val="16"/>
              </w:rPr>
            </w:pPr>
          </w:p>
        </w:tc>
        <w:tc>
          <w:tcPr>
            <w:tcW w:w="2186" w:type="pct"/>
          </w:tcPr>
          <w:p w14:paraId="318CE02F"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Impact of the participation of volunteers in the local environment</w:t>
            </w:r>
          </w:p>
        </w:tc>
        <w:tc>
          <w:tcPr>
            <w:tcW w:w="776" w:type="pct"/>
          </w:tcPr>
          <w:p w14:paraId="04813F26"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-1.084(0.280)</w:t>
            </w:r>
          </w:p>
        </w:tc>
      </w:tr>
      <w:tr w:rsidR="007A3B46" w:rsidRPr="00182B4E" w14:paraId="64C51734" w14:textId="77777777" w:rsidTr="00CD7CF1">
        <w:tc>
          <w:tcPr>
            <w:tcW w:w="761" w:type="pct"/>
            <w:vMerge/>
            <w:vAlign w:val="center"/>
          </w:tcPr>
          <w:p w14:paraId="209C9106"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ign w:val="center"/>
          </w:tcPr>
          <w:p w14:paraId="3174448F" w14:textId="77777777" w:rsidR="007A3B46" w:rsidRPr="00182B4E" w:rsidRDefault="007A3B46" w:rsidP="00CD7CF1">
            <w:pPr>
              <w:spacing w:line="276" w:lineRule="auto"/>
              <w:rPr>
                <w:rFonts w:ascii="Times New Roman" w:hAnsi="Times New Roman" w:cs="Times New Roman"/>
                <w:b/>
                <w:sz w:val="16"/>
                <w:szCs w:val="16"/>
              </w:rPr>
            </w:pPr>
          </w:p>
        </w:tc>
        <w:tc>
          <w:tcPr>
            <w:tcW w:w="2186" w:type="pct"/>
          </w:tcPr>
          <w:p w14:paraId="5476F053"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organization promotes the participation of volunteers</w:t>
            </w:r>
          </w:p>
        </w:tc>
        <w:tc>
          <w:tcPr>
            <w:tcW w:w="776" w:type="pct"/>
          </w:tcPr>
          <w:p w14:paraId="71EE79D7"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1.248(0.214)</w:t>
            </w:r>
          </w:p>
        </w:tc>
      </w:tr>
      <w:tr w:rsidR="007A3B46" w:rsidRPr="00182B4E" w14:paraId="3E94A586" w14:textId="77777777" w:rsidTr="00CD7CF1">
        <w:tc>
          <w:tcPr>
            <w:tcW w:w="761" w:type="pct"/>
            <w:vMerge/>
            <w:vAlign w:val="center"/>
          </w:tcPr>
          <w:p w14:paraId="78180785"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tcBorders>
              <w:bottom w:val="dotted" w:sz="4" w:space="0" w:color="auto"/>
            </w:tcBorders>
            <w:vAlign w:val="center"/>
          </w:tcPr>
          <w:p w14:paraId="4CE56D28" w14:textId="77777777" w:rsidR="007A3B46" w:rsidRPr="00182B4E" w:rsidRDefault="007A3B46" w:rsidP="00CD7CF1">
            <w:pPr>
              <w:spacing w:line="276" w:lineRule="auto"/>
              <w:rPr>
                <w:rFonts w:ascii="Times New Roman" w:hAnsi="Times New Roman" w:cs="Times New Roman"/>
                <w:b/>
                <w:sz w:val="16"/>
                <w:szCs w:val="16"/>
              </w:rPr>
            </w:pPr>
          </w:p>
        </w:tc>
        <w:tc>
          <w:tcPr>
            <w:tcW w:w="2186" w:type="pct"/>
            <w:tcBorders>
              <w:bottom w:val="dotted" w:sz="4" w:space="0" w:color="auto"/>
            </w:tcBorders>
          </w:tcPr>
          <w:p w14:paraId="18996A7B"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organization provides formation for their volunteers</w:t>
            </w:r>
          </w:p>
        </w:tc>
        <w:tc>
          <w:tcPr>
            <w:tcW w:w="776" w:type="pct"/>
            <w:tcBorders>
              <w:bottom w:val="dotted" w:sz="4" w:space="0" w:color="auto"/>
            </w:tcBorders>
          </w:tcPr>
          <w:p w14:paraId="5096A715"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1.247(0.214)</w:t>
            </w:r>
          </w:p>
        </w:tc>
      </w:tr>
      <w:tr w:rsidR="007A3B46" w:rsidRPr="00182B4E" w14:paraId="2560A65A" w14:textId="77777777" w:rsidTr="00CD7CF1">
        <w:tc>
          <w:tcPr>
            <w:tcW w:w="761" w:type="pct"/>
            <w:vMerge/>
            <w:vAlign w:val="center"/>
          </w:tcPr>
          <w:p w14:paraId="679ED7CD"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restart"/>
            <w:tcBorders>
              <w:top w:val="dotted" w:sz="4" w:space="0" w:color="auto"/>
            </w:tcBorders>
            <w:vAlign w:val="center"/>
          </w:tcPr>
          <w:p w14:paraId="53C9B04F" w14:textId="77777777" w:rsidR="007A3B46" w:rsidRPr="00182B4E" w:rsidRDefault="007A3B46" w:rsidP="00CD7CF1">
            <w:pPr>
              <w:spacing w:line="276" w:lineRule="auto"/>
              <w:rPr>
                <w:rFonts w:ascii="Times New Roman" w:hAnsi="Times New Roman" w:cs="Times New Roman"/>
                <w:b/>
                <w:sz w:val="16"/>
                <w:szCs w:val="16"/>
              </w:rPr>
            </w:pPr>
            <w:r w:rsidRPr="00182B4E">
              <w:rPr>
                <w:rFonts w:ascii="Times New Roman" w:hAnsi="Times New Roman" w:cs="Times New Roman"/>
                <w:b/>
                <w:sz w:val="16"/>
                <w:szCs w:val="16"/>
              </w:rPr>
              <w:t>Civil society</w:t>
            </w:r>
          </w:p>
        </w:tc>
        <w:tc>
          <w:tcPr>
            <w:tcW w:w="2186" w:type="pct"/>
            <w:tcBorders>
              <w:top w:val="dotted" w:sz="4" w:space="0" w:color="auto"/>
            </w:tcBorders>
          </w:tcPr>
          <w:p w14:paraId="7B7DA28F"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Level of development of the organizational ethical ideology</w:t>
            </w:r>
          </w:p>
        </w:tc>
        <w:tc>
          <w:tcPr>
            <w:tcW w:w="776" w:type="pct"/>
            <w:tcBorders>
              <w:top w:val="dotted" w:sz="4" w:space="0" w:color="auto"/>
            </w:tcBorders>
          </w:tcPr>
          <w:p w14:paraId="1DD23C51"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0.642(0.522)</w:t>
            </w:r>
          </w:p>
        </w:tc>
      </w:tr>
      <w:tr w:rsidR="007A3B46" w:rsidRPr="00182B4E" w14:paraId="51D66E8E" w14:textId="77777777" w:rsidTr="00CD7CF1">
        <w:tc>
          <w:tcPr>
            <w:tcW w:w="761" w:type="pct"/>
            <w:vMerge/>
            <w:vAlign w:val="center"/>
          </w:tcPr>
          <w:p w14:paraId="07DA83A5"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ign w:val="center"/>
          </w:tcPr>
          <w:p w14:paraId="64F90637" w14:textId="77777777" w:rsidR="007A3B46" w:rsidRPr="00182B4E" w:rsidRDefault="007A3B46" w:rsidP="00CD7CF1">
            <w:pPr>
              <w:spacing w:line="276" w:lineRule="auto"/>
              <w:rPr>
                <w:rFonts w:ascii="Times New Roman" w:hAnsi="Times New Roman" w:cs="Times New Roman"/>
                <w:b/>
                <w:sz w:val="16"/>
                <w:szCs w:val="16"/>
              </w:rPr>
            </w:pPr>
          </w:p>
        </w:tc>
        <w:tc>
          <w:tcPr>
            <w:tcW w:w="2186" w:type="pct"/>
          </w:tcPr>
          <w:p w14:paraId="40704B70"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 xml:space="preserve">Level of integration of local community and its environment </w:t>
            </w:r>
          </w:p>
        </w:tc>
        <w:tc>
          <w:tcPr>
            <w:tcW w:w="776" w:type="pct"/>
          </w:tcPr>
          <w:p w14:paraId="2F0AF143"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-0.638(0.525)</w:t>
            </w:r>
          </w:p>
        </w:tc>
      </w:tr>
      <w:tr w:rsidR="007A3B46" w:rsidRPr="00182B4E" w14:paraId="51495EDD" w14:textId="77777777" w:rsidTr="00CD7CF1">
        <w:tc>
          <w:tcPr>
            <w:tcW w:w="761" w:type="pct"/>
            <w:vMerge/>
            <w:vAlign w:val="center"/>
          </w:tcPr>
          <w:p w14:paraId="2A5C27E9"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ign w:val="center"/>
          </w:tcPr>
          <w:p w14:paraId="2C73E5D2" w14:textId="77777777" w:rsidR="007A3B46" w:rsidRPr="00182B4E" w:rsidRDefault="007A3B46" w:rsidP="00CD7CF1">
            <w:pPr>
              <w:spacing w:line="276" w:lineRule="auto"/>
              <w:rPr>
                <w:rFonts w:ascii="Times New Roman" w:hAnsi="Times New Roman" w:cs="Times New Roman"/>
                <w:b/>
                <w:sz w:val="16"/>
                <w:szCs w:val="16"/>
              </w:rPr>
            </w:pPr>
          </w:p>
        </w:tc>
        <w:tc>
          <w:tcPr>
            <w:tcW w:w="2186" w:type="pct"/>
          </w:tcPr>
          <w:p w14:paraId="75446A66"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Development of service quality surveys among users</w:t>
            </w:r>
          </w:p>
        </w:tc>
        <w:tc>
          <w:tcPr>
            <w:tcW w:w="776" w:type="pct"/>
          </w:tcPr>
          <w:p w14:paraId="5CB2C556"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-0.445(0.657)</w:t>
            </w:r>
          </w:p>
        </w:tc>
      </w:tr>
      <w:tr w:rsidR="007A3B46" w:rsidRPr="00182B4E" w14:paraId="34513591" w14:textId="77777777" w:rsidTr="00CD7CF1">
        <w:tc>
          <w:tcPr>
            <w:tcW w:w="761" w:type="pct"/>
            <w:vMerge/>
            <w:vAlign w:val="center"/>
          </w:tcPr>
          <w:p w14:paraId="06C93056"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ign w:val="center"/>
          </w:tcPr>
          <w:p w14:paraId="6F5003DE" w14:textId="77777777" w:rsidR="007A3B46" w:rsidRPr="00182B4E" w:rsidRDefault="007A3B46" w:rsidP="00CD7CF1">
            <w:pPr>
              <w:spacing w:line="276" w:lineRule="auto"/>
              <w:rPr>
                <w:rFonts w:ascii="Times New Roman" w:hAnsi="Times New Roman" w:cs="Times New Roman"/>
                <w:b/>
                <w:sz w:val="16"/>
                <w:szCs w:val="16"/>
              </w:rPr>
            </w:pPr>
          </w:p>
        </w:tc>
        <w:tc>
          <w:tcPr>
            <w:tcW w:w="2186" w:type="pct"/>
          </w:tcPr>
          <w:p w14:paraId="6BB1576D"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Promotion of high levels of accessibility to the lent services</w:t>
            </w:r>
          </w:p>
        </w:tc>
        <w:tc>
          <w:tcPr>
            <w:tcW w:w="776" w:type="pct"/>
          </w:tcPr>
          <w:p w14:paraId="0D73F380"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-0.091(0.927)</w:t>
            </w:r>
          </w:p>
        </w:tc>
      </w:tr>
      <w:tr w:rsidR="007A3B46" w:rsidRPr="00182B4E" w14:paraId="3D9E64CF" w14:textId="77777777" w:rsidTr="00CD7CF1">
        <w:tc>
          <w:tcPr>
            <w:tcW w:w="761" w:type="pct"/>
            <w:vMerge/>
            <w:vAlign w:val="center"/>
          </w:tcPr>
          <w:p w14:paraId="2A80BAC4"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ign w:val="center"/>
          </w:tcPr>
          <w:p w14:paraId="2789C8CC" w14:textId="77777777" w:rsidR="007A3B46" w:rsidRPr="00182B4E" w:rsidRDefault="007A3B46" w:rsidP="00CD7CF1">
            <w:pPr>
              <w:spacing w:line="276" w:lineRule="auto"/>
              <w:rPr>
                <w:rFonts w:ascii="Times New Roman" w:hAnsi="Times New Roman" w:cs="Times New Roman"/>
                <w:b/>
                <w:sz w:val="16"/>
                <w:szCs w:val="16"/>
              </w:rPr>
            </w:pPr>
          </w:p>
        </w:tc>
        <w:tc>
          <w:tcPr>
            <w:tcW w:w="2186" w:type="pct"/>
          </w:tcPr>
          <w:p w14:paraId="6BE8FA8C"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Promotion of the participation in social networks</w:t>
            </w:r>
          </w:p>
        </w:tc>
        <w:tc>
          <w:tcPr>
            <w:tcW w:w="776" w:type="pct"/>
          </w:tcPr>
          <w:p w14:paraId="63E0AECA"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0.633(0.528)</w:t>
            </w:r>
          </w:p>
        </w:tc>
      </w:tr>
      <w:tr w:rsidR="007A3B46" w:rsidRPr="00182B4E" w14:paraId="6A12DF86" w14:textId="77777777" w:rsidTr="00CD7CF1">
        <w:tc>
          <w:tcPr>
            <w:tcW w:w="761" w:type="pct"/>
            <w:vMerge/>
            <w:vAlign w:val="center"/>
          </w:tcPr>
          <w:p w14:paraId="008E227C"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vAlign w:val="center"/>
          </w:tcPr>
          <w:p w14:paraId="67CD94E2" w14:textId="77777777" w:rsidR="007A3B46" w:rsidRPr="00182B4E" w:rsidRDefault="007A3B46" w:rsidP="00CD7CF1">
            <w:pPr>
              <w:spacing w:line="276" w:lineRule="auto"/>
              <w:rPr>
                <w:rFonts w:ascii="Times New Roman" w:hAnsi="Times New Roman" w:cs="Times New Roman"/>
                <w:b/>
                <w:sz w:val="16"/>
                <w:szCs w:val="16"/>
              </w:rPr>
            </w:pPr>
          </w:p>
        </w:tc>
        <w:tc>
          <w:tcPr>
            <w:tcW w:w="2186" w:type="pct"/>
          </w:tcPr>
          <w:p w14:paraId="54D597E4"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Estimation of the social return on investment (SROI)</w:t>
            </w:r>
          </w:p>
        </w:tc>
        <w:tc>
          <w:tcPr>
            <w:tcW w:w="776" w:type="pct"/>
          </w:tcPr>
          <w:p w14:paraId="2130D973"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0.204(0.838)</w:t>
            </w:r>
          </w:p>
        </w:tc>
      </w:tr>
      <w:tr w:rsidR="007A3B46" w:rsidRPr="00182B4E" w14:paraId="1DB9CCE3" w14:textId="77777777" w:rsidTr="00CD7CF1">
        <w:tc>
          <w:tcPr>
            <w:tcW w:w="761" w:type="pct"/>
            <w:vMerge/>
            <w:tcBorders>
              <w:bottom w:val="single" w:sz="4" w:space="0" w:color="auto"/>
            </w:tcBorders>
            <w:vAlign w:val="center"/>
          </w:tcPr>
          <w:p w14:paraId="71161435" w14:textId="77777777" w:rsidR="007A3B46" w:rsidRPr="00182B4E" w:rsidRDefault="007A3B46" w:rsidP="00CD7CF1">
            <w:pPr>
              <w:spacing w:line="276" w:lineRule="auto"/>
              <w:rPr>
                <w:rFonts w:ascii="Times New Roman" w:hAnsi="Times New Roman" w:cs="Times New Roman"/>
                <w:b/>
                <w:sz w:val="16"/>
                <w:szCs w:val="16"/>
              </w:rPr>
            </w:pPr>
          </w:p>
        </w:tc>
        <w:tc>
          <w:tcPr>
            <w:tcW w:w="1277" w:type="pct"/>
            <w:gridSpan w:val="3"/>
            <w:vMerge/>
            <w:tcBorders>
              <w:bottom w:val="single" w:sz="4" w:space="0" w:color="auto"/>
            </w:tcBorders>
            <w:vAlign w:val="center"/>
          </w:tcPr>
          <w:p w14:paraId="7712311B" w14:textId="77777777" w:rsidR="007A3B46" w:rsidRPr="00182B4E" w:rsidRDefault="007A3B46" w:rsidP="00CD7CF1">
            <w:pPr>
              <w:spacing w:line="276" w:lineRule="auto"/>
              <w:rPr>
                <w:rFonts w:ascii="Times New Roman" w:hAnsi="Times New Roman" w:cs="Times New Roman"/>
                <w:b/>
                <w:sz w:val="16"/>
                <w:szCs w:val="16"/>
              </w:rPr>
            </w:pPr>
          </w:p>
        </w:tc>
        <w:tc>
          <w:tcPr>
            <w:tcW w:w="2186" w:type="pct"/>
            <w:tcBorders>
              <w:bottom w:val="single" w:sz="4" w:space="0" w:color="auto"/>
            </w:tcBorders>
          </w:tcPr>
          <w:p w14:paraId="0FF2E2C1"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Local community participates in the decision-making processes</w:t>
            </w:r>
          </w:p>
        </w:tc>
        <w:tc>
          <w:tcPr>
            <w:tcW w:w="776" w:type="pct"/>
            <w:tcBorders>
              <w:bottom w:val="single" w:sz="4" w:space="0" w:color="auto"/>
            </w:tcBorders>
          </w:tcPr>
          <w:p w14:paraId="73F1C905"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1.485 (0.140)</w:t>
            </w:r>
          </w:p>
        </w:tc>
      </w:tr>
      <w:tr w:rsidR="007A3B46" w:rsidRPr="00182B4E" w14:paraId="0BEB4B98" w14:textId="77777777" w:rsidTr="00CD7CF1">
        <w:trPr>
          <w:trHeight w:val="227"/>
        </w:trPr>
        <w:tc>
          <w:tcPr>
            <w:tcW w:w="917" w:type="pct"/>
            <w:gridSpan w:val="2"/>
            <w:vMerge w:val="restart"/>
            <w:tcBorders>
              <w:top w:val="single" w:sz="4" w:space="0" w:color="auto"/>
            </w:tcBorders>
            <w:vAlign w:val="center"/>
          </w:tcPr>
          <w:p w14:paraId="7BF5F4E8" w14:textId="77777777" w:rsidR="007A3B46" w:rsidRPr="00182B4E" w:rsidRDefault="007A3B46" w:rsidP="00CD7CF1">
            <w:pPr>
              <w:spacing w:line="276" w:lineRule="auto"/>
              <w:rPr>
                <w:rFonts w:ascii="Times New Roman" w:hAnsi="Times New Roman" w:cs="Times New Roman"/>
                <w:b/>
                <w:sz w:val="16"/>
                <w:szCs w:val="16"/>
              </w:rPr>
            </w:pPr>
            <w:r w:rsidRPr="00182B4E">
              <w:rPr>
                <w:rFonts w:ascii="Times New Roman" w:hAnsi="Times New Roman" w:cs="Times New Roman"/>
                <w:b/>
                <w:sz w:val="16"/>
                <w:szCs w:val="16"/>
              </w:rPr>
              <w:t>Governance</w:t>
            </w:r>
          </w:p>
        </w:tc>
        <w:tc>
          <w:tcPr>
            <w:tcW w:w="1083" w:type="pct"/>
            <w:vMerge w:val="restart"/>
            <w:tcBorders>
              <w:top w:val="single" w:sz="4" w:space="0" w:color="auto"/>
            </w:tcBorders>
            <w:vAlign w:val="center"/>
          </w:tcPr>
          <w:p w14:paraId="25C15D52" w14:textId="77777777" w:rsidR="007A3B46" w:rsidRPr="00182B4E" w:rsidRDefault="007A3B46" w:rsidP="00CD7CF1">
            <w:pPr>
              <w:spacing w:line="276" w:lineRule="auto"/>
              <w:rPr>
                <w:rFonts w:ascii="Times New Roman" w:hAnsi="Times New Roman" w:cs="Times New Roman"/>
                <w:b/>
                <w:sz w:val="16"/>
                <w:szCs w:val="16"/>
              </w:rPr>
            </w:pPr>
            <w:r w:rsidRPr="00182B4E">
              <w:rPr>
                <w:rFonts w:ascii="Times New Roman" w:hAnsi="Times New Roman" w:cs="Times New Roman"/>
                <w:b/>
                <w:sz w:val="16"/>
                <w:szCs w:val="16"/>
              </w:rPr>
              <w:t>Autonomy</w:t>
            </w:r>
          </w:p>
        </w:tc>
        <w:tc>
          <w:tcPr>
            <w:tcW w:w="2224" w:type="pct"/>
            <w:gridSpan w:val="2"/>
            <w:tcBorders>
              <w:top w:val="single" w:sz="4" w:space="0" w:color="auto"/>
            </w:tcBorders>
          </w:tcPr>
          <w:p w14:paraId="0625E224"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organization shares workers with other organizations</w:t>
            </w:r>
          </w:p>
        </w:tc>
        <w:tc>
          <w:tcPr>
            <w:tcW w:w="776" w:type="pct"/>
            <w:tcBorders>
              <w:top w:val="single" w:sz="4" w:space="0" w:color="auto"/>
            </w:tcBorders>
          </w:tcPr>
          <w:p w14:paraId="76614043"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0.792 (0.429)</w:t>
            </w:r>
          </w:p>
        </w:tc>
      </w:tr>
      <w:tr w:rsidR="007A3B46" w:rsidRPr="00182B4E" w14:paraId="22A08BE6" w14:textId="77777777" w:rsidTr="00CD7CF1">
        <w:trPr>
          <w:trHeight w:val="227"/>
        </w:trPr>
        <w:tc>
          <w:tcPr>
            <w:tcW w:w="917" w:type="pct"/>
            <w:gridSpan w:val="2"/>
            <w:vMerge/>
          </w:tcPr>
          <w:p w14:paraId="5CBFC66E" w14:textId="77777777" w:rsidR="007A3B46" w:rsidRPr="00182B4E" w:rsidRDefault="007A3B46" w:rsidP="00CD7CF1">
            <w:pPr>
              <w:spacing w:line="276" w:lineRule="auto"/>
              <w:rPr>
                <w:rFonts w:ascii="Times New Roman" w:hAnsi="Times New Roman" w:cs="Times New Roman"/>
                <w:b/>
                <w:sz w:val="16"/>
                <w:szCs w:val="16"/>
              </w:rPr>
            </w:pPr>
          </w:p>
        </w:tc>
        <w:tc>
          <w:tcPr>
            <w:tcW w:w="1083" w:type="pct"/>
            <w:vMerge/>
            <w:vAlign w:val="center"/>
          </w:tcPr>
          <w:p w14:paraId="442C5D5A" w14:textId="77777777" w:rsidR="007A3B46" w:rsidRPr="00182B4E" w:rsidRDefault="007A3B46" w:rsidP="00CD7CF1">
            <w:pPr>
              <w:spacing w:line="276" w:lineRule="auto"/>
              <w:rPr>
                <w:rFonts w:ascii="Times New Roman" w:hAnsi="Times New Roman" w:cs="Times New Roman"/>
                <w:b/>
                <w:sz w:val="16"/>
                <w:szCs w:val="16"/>
              </w:rPr>
            </w:pPr>
          </w:p>
        </w:tc>
        <w:tc>
          <w:tcPr>
            <w:tcW w:w="2224" w:type="pct"/>
            <w:gridSpan w:val="2"/>
          </w:tcPr>
          <w:p w14:paraId="7506150B"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organization shares volunteers with other organizations</w:t>
            </w:r>
          </w:p>
        </w:tc>
        <w:tc>
          <w:tcPr>
            <w:tcW w:w="776" w:type="pct"/>
          </w:tcPr>
          <w:p w14:paraId="05622E8D"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0.339 (0.735)</w:t>
            </w:r>
          </w:p>
        </w:tc>
      </w:tr>
      <w:tr w:rsidR="007A3B46" w:rsidRPr="00182B4E" w14:paraId="10E5FF3A" w14:textId="77777777" w:rsidTr="00CD7CF1">
        <w:trPr>
          <w:trHeight w:val="227"/>
        </w:trPr>
        <w:tc>
          <w:tcPr>
            <w:tcW w:w="917" w:type="pct"/>
            <w:gridSpan w:val="2"/>
            <w:vMerge/>
          </w:tcPr>
          <w:p w14:paraId="0423C4A2" w14:textId="77777777" w:rsidR="007A3B46" w:rsidRPr="00182B4E" w:rsidRDefault="007A3B46" w:rsidP="00CD7CF1">
            <w:pPr>
              <w:spacing w:line="276" w:lineRule="auto"/>
              <w:rPr>
                <w:rFonts w:ascii="Times New Roman" w:hAnsi="Times New Roman" w:cs="Times New Roman"/>
                <w:b/>
                <w:sz w:val="16"/>
                <w:szCs w:val="16"/>
              </w:rPr>
            </w:pPr>
          </w:p>
        </w:tc>
        <w:tc>
          <w:tcPr>
            <w:tcW w:w="1083" w:type="pct"/>
            <w:vMerge/>
            <w:vAlign w:val="center"/>
          </w:tcPr>
          <w:p w14:paraId="6B3B38AA" w14:textId="77777777" w:rsidR="007A3B46" w:rsidRPr="00182B4E" w:rsidRDefault="007A3B46" w:rsidP="00CD7CF1">
            <w:pPr>
              <w:spacing w:line="276" w:lineRule="auto"/>
              <w:rPr>
                <w:rFonts w:ascii="Times New Roman" w:hAnsi="Times New Roman" w:cs="Times New Roman"/>
                <w:b/>
                <w:sz w:val="16"/>
                <w:szCs w:val="16"/>
              </w:rPr>
            </w:pPr>
          </w:p>
        </w:tc>
        <w:tc>
          <w:tcPr>
            <w:tcW w:w="2224" w:type="pct"/>
            <w:gridSpan w:val="2"/>
          </w:tcPr>
          <w:p w14:paraId="59F9CC57"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organization progressively improves the formation of their human resources</w:t>
            </w:r>
          </w:p>
        </w:tc>
        <w:tc>
          <w:tcPr>
            <w:tcW w:w="776" w:type="pct"/>
          </w:tcPr>
          <w:p w14:paraId="5F2105BD"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1.211 (0.228)</w:t>
            </w:r>
          </w:p>
        </w:tc>
      </w:tr>
      <w:tr w:rsidR="007A3B46" w:rsidRPr="00182B4E" w14:paraId="36A48739" w14:textId="77777777" w:rsidTr="00CD7CF1">
        <w:trPr>
          <w:trHeight w:val="227"/>
        </w:trPr>
        <w:tc>
          <w:tcPr>
            <w:tcW w:w="917" w:type="pct"/>
            <w:gridSpan w:val="2"/>
            <w:vMerge/>
          </w:tcPr>
          <w:p w14:paraId="627D0632" w14:textId="77777777" w:rsidR="007A3B46" w:rsidRPr="00182B4E" w:rsidRDefault="007A3B46" w:rsidP="00CD7CF1">
            <w:pPr>
              <w:spacing w:line="276" w:lineRule="auto"/>
              <w:rPr>
                <w:rFonts w:ascii="Times New Roman" w:hAnsi="Times New Roman" w:cs="Times New Roman"/>
                <w:b/>
                <w:sz w:val="16"/>
                <w:szCs w:val="16"/>
              </w:rPr>
            </w:pPr>
          </w:p>
        </w:tc>
        <w:tc>
          <w:tcPr>
            <w:tcW w:w="1083" w:type="pct"/>
            <w:vMerge/>
            <w:vAlign w:val="center"/>
          </w:tcPr>
          <w:p w14:paraId="716399DB" w14:textId="77777777" w:rsidR="007A3B46" w:rsidRPr="00182B4E" w:rsidRDefault="007A3B46" w:rsidP="00CD7CF1">
            <w:pPr>
              <w:spacing w:line="276" w:lineRule="auto"/>
              <w:rPr>
                <w:rFonts w:ascii="Times New Roman" w:hAnsi="Times New Roman" w:cs="Times New Roman"/>
                <w:b/>
                <w:sz w:val="16"/>
                <w:szCs w:val="16"/>
              </w:rPr>
            </w:pPr>
          </w:p>
        </w:tc>
        <w:tc>
          <w:tcPr>
            <w:tcW w:w="2224" w:type="pct"/>
            <w:gridSpan w:val="2"/>
          </w:tcPr>
          <w:p w14:paraId="151263C4"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 xml:space="preserve">The organization progressively attracts a higher number of users </w:t>
            </w:r>
          </w:p>
        </w:tc>
        <w:tc>
          <w:tcPr>
            <w:tcW w:w="776" w:type="pct"/>
          </w:tcPr>
          <w:p w14:paraId="7D8A1DC2"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1.133 (0.259)</w:t>
            </w:r>
          </w:p>
        </w:tc>
      </w:tr>
      <w:tr w:rsidR="007A3B46" w:rsidRPr="00182B4E" w14:paraId="2C8C325F" w14:textId="77777777" w:rsidTr="00CD7CF1">
        <w:trPr>
          <w:trHeight w:val="227"/>
        </w:trPr>
        <w:tc>
          <w:tcPr>
            <w:tcW w:w="917" w:type="pct"/>
            <w:gridSpan w:val="2"/>
            <w:vMerge/>
          </w:tcPr>
          <w:p w14:paraId="60E47756" w14:textId="77777777" w:rsidR="007A3B46" w:rsidRPr="00182B4E" w:rsidRDefault="007A3B46" w:rsidP="00CD7CF1">
            <w:pPr>
              <w:spacing w:line="276" w:lineRule="auto"/>
              <w:rPr>
                <w:rFonts w:ascii="Times New Roman" w:hAnsi="Times New Roman" w:cs="Times New Roman"/>
                <w:b/>
                <w:sz w:val="16"/>
                <w:szCs w:val="16"/>
              </w:rPr>
            </w:pPr>
          </w:p>
        </w:tc>
        <w:tc>
          <w:tcPr>
            <w:tcW w:w="1083" w:type="pct"/>
            <w:vMerge/>
            <w:tcBorders>
              <w:bottom w:val="dotted" w:sz="4" w:space="0" w:color="auto"/>
            </w:tcBorders>
            <w:vAlign w:val="center"/>
          </w:tcPr>
          <w:p w14:paraId="37C31215" w14:textId="77777777" w:rsidR="007A3B46" w:rsidRPr="00182B4E" w:rsidRDefault="007A3B46" w:rsidP="00CD7CF1">
            <w:pPr>
              <w:spacing w:line="276" w:lineRule="auto"/>
              <w:rPr>
                <w:rFonts w:ascii="Times New Roman" w:hAnsi="Times New Roman" w:cs="Times New Roman"/>
                <w:b/>
                <w:sz w:val="16"/>
                <w:szCs w:val="16"/>
              </w:rPr>
            </w:pPr>
          </w:p>
        </w:tc>
        <w:tc>
          <w:tcPr>
            <w:tcW w:w="2224" w:type="pct"/>
            <w:gridSpan w:val="2"/>
            <w:tcBorders>
              <w:bottom w:val="dotted" w:sz="4" w:space="0" w:color="auto"/>
            </w:tcBorders>
          </w:tcPr>
          <w:p w14:paraId="5199826D"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organization progressively has more financial resources</w:t>
            </w:r>
          </w:p>
        </w:tc>
        <w:tc>
          <w:tcPr>
            <w:tcW w:w="776" w:type="pct"/>
            <w:tcBorders>
              <w:bottom w:val="dotted" w:sz="4" w:space="0" w:color="auto"/>
            </w:tcBorders>
          </w:tcPr>
          <w:p w14:paraId="092D5E6D"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1.572 (0.118)</w:t>
            </w:r>
          </w:p>
        </w:tc>
      </w:tr>
      <w:tr w:rsidR="007A3B46" w:rsidRPr="00182B4E" w14:paraId="5132FD8D" w14:textId="77777777" w:rsidTr="00CD7CF1">
        <w:trPr>
          <w:trHeight w:val="227"/>
        </w:trPr>
        <w:tc>
          <w:tcPr>
            <w:tcW w:w="917" w:type="pct"/>
            <w:gridSpan w:val="2"/>
            <w:vMerge/>
          </w:tcPr>
          <w:p w14:paraId="197537E3" w14:textId="77777777" w:rsidR="007A3B46" w:rsidRPr="00182B4E" w:rsidRDefault="007A3B46" w:rsidP="00CD7CF1">
            <w:pPr>
              <w:spacing w:line="276" w:lineRule="auto"/>
              <w:rPr>
                <w:rFonts w:ascii="Times New Roman" w:hAnsi="Times New Roman" w:cs="Times New Roman"/>
                <w:b/>
                <w:sz w:val="16"/>
                <w:szCs w:val="16"/>
              </w:rPr>
            </w:pPr>
          </w:p>
        </w:tc>
        <w:tc>
          <w:tcPr>
            <w:tcW w:w="1083" w:type="pct"/>
            <w:vMerge w:val="restart"/>
            <w:tcBorders>
              <w:top w:val="dotted" w:sz="4" w:space="0" w:color="auto"/>
            </w:tcBorders>
            <w:vAlign w:val="center"/>
          </w:tcPr>
          <w:p w14:paraId="40EDBCFB" w14:textId="77777777" w:rsidR="007A3B46" w:rsidRPr="00182B4E" w:rsidRDefault="007A3B46" w:rsidP="00CD7CF1">
            <w:pPr>
              <w:spacing w:line="276" w:lineRule="auto"/>
              <w:rPr>
                <w:rFonts w:ascii="Times New Roman" w:hAnsi="Times New Roman" w:cs="Times New Roman"/>
                <w:b/>
                <w:sz w:val="16"/>
                <w:szCs w:val="16"/>
              </w:rPr>
            </w:pPr>
            <w:r w:rsidRPr="00182B4E">
              <w:rPr>
                <w:rFonts w:ascii="Times New Roman" w:hAnsi="Times New Roman" w:cs="Times New Roman"/>
                <w:b/>
                <w:sz w:val="16"/>
                <w:szCs w:val="16"/>
              </w:rPr>
              <w:t>Decision-making processes</w:t>
            </w:r>
          </w:p>
        </w:tc>
        <w:tc>
          <w:tcPr>
            <w:tcW w:w="2224" w:type="pct"/>
            <w:gridSpan w:val="2"/>
            <w:tcBorders>
              <w:top w:val="dotted" w:sz="4" w:space="0" w:color="auto"/>
            </w:tcBorders>
          </w:tcPr>
          <w:p w14:paraId="7B77C7E4"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board of trustees consults users before making a decision</w:t>
            </w:r>
          </w:p>
        </w:tc>
        <w:tc>
          <w:tcPr>
            <w:tcW w:w="776" w:type="pct"/>
            <w:tcBorders>
              <w:top w:val="dotted" w:sz="4" w:space="0" w:color="auto"/>
            </w:tcBorders>
          </w:tcPr>
          <w:p w14:paraId="3D3C6672"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0.530 (0.597)</w:t>
            </w:r>
          </w:p>
        </w:tc>
      </w:tr>
      <w:tr w:rsidR="007A3B46" w:rsidRPr="00182B4E" w14:paraId="405331CE" w14:textId="77777777" w:rsidTr="00CD7CF1">
        <w:trPr>
          <w:trHeight w:val="227"/>
        </w:trPr>
        <w:tc>
          <w:tcPr>
            <w:tcW w:w="917" w:type="pct"/>
            <w:gridSpan w:val="2"/>
            <w:vMerge/>
          </w:tcPr>
          <w:p w14:paraId="2C35F7C5" w14:textId="77777777" w:rsidR="007A3B46" w:rsidRPr="00182B4E" w:rsidRDefault="007A3B46" w:rsidP="00CD7CF1">
            <w:pPr>
              <w:spacing w:line="276" w:lineRule="auto"/>
              <w:rPr>
                <w:rFonts w:ascii="Times New Roman" w:hAnsi="Times New Roman" w:cs="Times New Roman"/>
                <w:b/>
                <w:sz w:val="16"/>
                <w:szCs w:val="16"/>
              </w:rPr>
            </w:pPr>
          </w:p>
        </w:tc>
        <w:tc>
          <w:tcPr>
            <w:tcW w:w="1083" w:type="pct"/>
            <w:vMerge/>
            <w:vAlign w:val="center"/>
          </w:tcPr>
          <w:p w14:paraId="2D6F0979" w14:textId="77777777" w:rsidR="007A3B46" w:rsidRPr="00182B4E" w:rsidRDefault="007A3B46" w:rsidP="00CD7CF1">
            <w:pPr>
              <w:spacing w:line="276" w:lineRule="auto"/>
              <w:rPr>
                <w:rFonts w:ascii="Times New Roman" w:hAnsi="Times New Roman" w:cs="Times New Roman"/>
                <w:b/>
                <w:sz w:val="16"/>
                <w:szCs w:val="16"/>
              </w:rPr>
            </w:pPr>
          </w:p>
        </w:tc>
        <w:tc>
          <w:tcPr>
            <w:tcW w:w="2224" w:type="pct"/>
            <w:gridSpan w:val="2"/>
          </w:tcPr>
          <w:p w14:paraId="17CB36AF"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 xml:space="preserve">The board of trustees consults workers before making a decision </w:t>
            </w:r>
          </w:p>
        </w:tc>
        <w:tc>
          <w:tcPr>
            <w:tcW w:w="776" w:type="pct"/>
          </w:tcPr>
          <w:p w14:paraId="69FD953D"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-0.137 (0.891)</w:t>
            </w:r>
          </w:p>
        </w:tc>
      </w:tr>
      <w:tr w:rsidR="007A3B46" w:rsidRPr="00182B4E" w14:paraId="035A2165" w14:textId="77777777" w:rsidTr="00CD7CF1">
        <w:trPr>
          <w:trHeight w:val="227"/>
        </w:trPr>
        <w:tc>
          <w:tcPr>
            <w:tcW w:w="917" w:type="pct"/>
            <w:gridSpan w:val="2"/>
            <w:vMerge/>
          </w:tcPr>
          <w:p w14:paraId="52AA9436" w14:textId="77777777" w:rsidR="007A3B46" w:rsidRPr="00182B4E" w:rsidRDefault="007A3B46" w:rsidP="00CD7CF1">
            <w:pPr>
              <w:spacing w:line="276" w:lineRule="auto"/>
              <w:rPr>
                <w:rFonts w:ascii="Times New Roman" w:hAnsi="Times New Roman" w:cs="Times New Roman"/>
                <w:b/>
                <w:sz w:val="16"/>
                <w:szCs w:val="16"/>
              </w:rPr>
            </w:pPr>
          </w:p>
        </w:tc>
        <w:tc>
          <w:tcPr>
            <w:tcW w:w="1083" w:type="pct"/>
            <w:vMerge/>
            <w:vAlign w:val="center"/>
          </w:tcPr>
          <w:p w14:paraId="7504B66D" w14:textId="77777777" w:rsidR="007A3B46" w:rsidRPr="00182B4E" w:rsidRDefault="007A3B46" w:rsidP="00CD7CF1">
            <w:pPr>
              <w:spacing w:line="276" w:lineRule="auto"/>
              <w:rPr>
                <w:rFonts w:ascii="Times New Roman" w:hAnsi="Times New Roman" w:cs="Times New Roman"/>
                <w:b/>
                <w:sz w:val="16"/>
                <w:szCs w:val="16"/>
              </w:rPr>
            </w:pPr>
          </w:p>
        </w:tc>
        <w:tc>
          <w:tcPr>
            <w:tcW w:w="2224" w:type="pct"/>
            <w:gridSpan w:val="2"/>
          </w:tcPr>
          <w:p w14:paraId="50D7797E"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board of trustees consults volunteers before making a decision</w:t>
            </w:r>
          </w:p>
        </w:tc>
        <w:tc>
          <w:tcPr>
            <w:tcW w:w="776" w:type="pct"/>
          </w:tcPr>
          <w:p w14:paraId="755CC763"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-1.257 (0.210)</w:t>
            </w:r>
          </w:p>
        </w:tc>
      </w:tr>
      <w:tr w:rsidR="007A3B46" w:rsidRPr="00182B4E" w14:paraId="04D6B546" w14:textId="77777777" w:rsidTr="00CD7CF1">
        <w:trPr>
          <w:trHeight w:val="227"/>
        </w:trPr>
        <w:tc>
          <w:tcPr>
            <w:tcW w:w="917" w:type="pct"/>
            <w:gridSpan w:val="2"/>
            <w:vMerge/>
          </w:tcPr>
          <w:p w14:paraId="33BFE00E" w14:textId="77777777" w:rsidR="007A3B46" w:rsidRPr="00182B4E" w:rsidRDefault="007A3B46" w:rsidP="00CD7CF1">
            <w:pPr>
              <w:spacing w:line="276" w:lineRule="auto"/>
              <w:rPr>
                <w:rFonts w:ascii="Times New Roman" w:hAnsi="Times New Roman" w:cs="Times New Roman"/>
                <w:b/>
                <w:sz w:val="16"/>
                <w:szCs w:val="16"/>
              </w:rPr>
            </w:pPr>
          </w:p>
        </w:tc>
        <w:tc>
          <w:tcPr>
            <w:tcW w:w="1083" w:type="pct"/>
            <w:vMerge/>
            <w:tcBorders>
              <w:bottom w:val="dotted" w:sz="4" w:space="0" w:color="auto"/>
            </w:tcBorders>
            <w:vAlign w:val="center"/>
          </w:tcPr>
          <w:p w14:paraId="6303540C" w14:textId="77777777" w:rsidR="007A3B46" w:rsidRPr="00182B4E" w:rsidRDefault="007A3B46" w:rsidP="00CD7CF1">
            <w:pPr>
              <w:spacing w:line="276" w:lineRule="auto"/>
              <w:rPr>
                <w:rFonts w:ascii="Times New Roman" w:hAnsi="Times New Roman" w:cs="Times New Roman"/>
                <w:b/>
                <w:sz w:val="16"/>
                <w:szCs w:val="16"/>
              </w:rPr>
            </w:pPr>
          </w:p>
        </w:tc>
        <w:tc>
          <w:tcPr>
            <w:tcW w:w="2224" w:type="pct"/>
            <w:gridSpan w:val="2"/>
            <w:tcBorders>
              <w:bottom w:val="dotted" w:sz="4" w:space="0" w:color="auto"/>
            </w:tcBorders>
          </w:tcPr>
          <w:p w14:paraId="11BC3DD5"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 xml:space="preserve">The board of trustees consults funders before making a decision </w:t>
            </w:r>
          </w:p>
        </w:tc>
        <w:tc>
          <w:tcPr>
            <w:tcW w:w="776" w:type="pct"/>
            <w:tcBorders>
              <w:bottom w:val="dotted" w:sz="4" w:space="0" w:color="auto"/>
            </w:tcBorders>
          </w:tcPr>
          <w:p w14:paraId="7D9CD650"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1.095 (0.275)</w:t>
            </w:r>
          </w:p>
        </w:tc>
      </w:tr>
      <w:tr w:rsidR="007A3B46" w:rsidRPr="00182B4E" w14:paraId="6930C86F" w14:textId="77777777" w:rsidTr="00CD7CF1">
        <w:trPr>
          <w:trHeight w:val="227"/>
        </w:trPr>
        <w:tc>
          <w:tcPr>
            <w:tcW w:w="917" w:type="pct"/>
            <w:gridSpan w:val="2"/>
            <w:vMerge/>
          </w:tcPr>
          <w:p w14:paraId="3BF4FBCC" w14:textId="77777777" w:rsidR="007A3B46" w:rsidRPr="00182B4E" w:rsidRDefault="007A3B46" w:rsidP="00CD7CF1">
            <w:pPr>
              <w:spacing w:line="276" w:lineRule="auto"/>
              <w:rPr>
                <w:rFonts w:ascii="Times New Roman" w:hAnsi="Times New Roman" w:cs="Times New Roman"/>
                <w:b/>
                <w:sz w:val="16"/>
                <w:szCs w:val="16"/>
              </w:rPr>
            </w:pPr>
          </w:p>
        </w:tc>
        <w:tc>
          <w:tcPr>
            <w:tcW w:w="1083" w:type="pct"/>
            <w:vMerge w:val="restart"/>
            <w:tcBorders>
              <w:top w:val="dotted" w:sz="4" w:space="0" w:color="auto"/>
            </w:tcBorders>
            <w:vAlign w:val="center"/>
          </w:tcPr>
          <w:p w14:paraId="406C91E2" w14:textId="77777777" w:rsidR="007A3B46" w:rsidRPr="00182B4E" w:rsidRDefault="007A3B46" w:rsidP="00CD7CF1">
            <w:pPr>
              <w:spacing w:line="276" w:lineRule="auto"/>
              <w:rPr>
                <w:rFonts w:ascii="Times New Roman" w:hAnsi="Times New Roman" w:cs="Times New Roman"/>
                <w:b/>
                <w:sz w:val="16"/>
                <w:szCs w:val="16"/>
              </w:rPr>
            </w:pPr>
            <w:r w:rsidRPr="00182B4E">
              <w:rPr>
                <w:rFonts w:ascii="Times New Roman" w:hAnsi="Times New Roman" w:cs="Times New Roman"/>
                <w:b/>
                <w:sz w:val="16"/>
                <w:szCs w:val="16"/>
              </w:rPr>
              <w:t xml:space="preserve">Stakeholder </w:t>
            </w:r>
          </w:p>
          <w:p w14:paraId="20255D9A" w14:textId="77777777" w:rsidR="007A3B46" w:rsidRPr="00182B4E" w:rsidRDefault="007A3B46" w:rsidP="00CD7CF1">
            <w:pPr>
              <w:spacing w:line="276" w:lineRule="auto"/>
              <w:rPr>
                <w:rFonts w:ascii="Times New Roman" w:hAnsi="Times New Roman" w:cs="Times New Roman"/>
                <w:b/>
                <w:sz w:val="16"/>
                <w:szCs w:val="16"/>
              </w:rPr>
            </w:pPr>
            <w:r w:rsidRPr="00182B4E">
              <w:rPr>
                <w:rFonts w:ascii="Times New Roman" w:hAnsi="Times New Roman" w:cs="Times New Roman"/>
                <w:b/>
                <w:sz w:val="16"/>
                <w:szCs w:val="16"/>
              </w:rPr>
              <w:t>orientation</w:t>
            </w:r>
          </w:p>
        </w:tc>
        <w:tc>
          <w:tcPr>
            <w:tcW w:w="2224" w:type="pct"/>
            <w:gridSpan w:val="2"/>
            <w:tcBorders>
              <w:top w:val="dotted" w:sz="4" w:space="0" w:color="auto"/>
            </w:tcBorders>
          </w:tcPr>
          <w:p w14:paraId="54848FE5"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 xml:space="preserve">The organization consolidates the existing users </w:t>
            </w:r>
          </w:p>
        </w:tc>
        <w:tc>
          <w:tcPr>
            <w:tcW w:w="776" w:type="pct"/>
            <w:tcBorders>
              <w:top w:val="dotted" w:sz="4" w:space="0" w:color="auto"/>
            </w:tcBorders>
          </w:tcPr>
          <w:p w14:paraId="7C9131CF"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1.579 (0.116)</w:t>
            </w:r>
          </w:p>
        </w:tc>
      </w:tr>
      <w:tr w:rsidR="007A3B46" w:rsidRPr="00182B4E" w14:paraId="33354E8B" w14:textId="77777777" w:rsidTr="00CD7CF1">
        <w:trPr>
          <w:trHeight w:val="227"/>
        </w:trPr>
        <w:tc>
          <w:tcPr>
            <w:tcW w:w="917" w:type="pct"/>
            <w:gridSpan w:val="2"/>
            <w:vMerge/>
          </w:tcPr>
          <w:p w14:paraId="0F863C71" w14:textId="77777777" w:rsidR="007A3B46" w:rsidRPr="00182B4E" w:rsidRDefault="007A3B46" w:rsidP="00CD7CF1">
            <w:pPr>
              <w:spacing w:line="276" w:lineRule="auto"/>
              <w:rPr>
                <w:rFonts w:ascii="Times New Roman" w:hAnsi="Times New Roman" w:cs="Times New Roman"/>
                <w:b/>
                <w:sz w:val="16"/>
                <w:szCs w:val="16"/>
              </w:rPr>
            </w:pPr>
          </w:p>
        </w:tc>
        <w:tc>
          <w:tcPr>
            <w:tcW w:w="1083" w:type="pct"/>
            <w:vMerge/>
          </w:tcPr>
          <w:p w14:paraId="2BC98708" w14:textId="77777777" w:rsidR="007A3B46" w:rsidRPr="00182B4E" w:rsidRDefault="007A3B46" w:rsidP="00CD7CF1">
            <w:pPr>
              <w:spacing w:line="276" w:lineRule="auto"/>
              <w:rPr>
                <w:rFonts w:ascii="Times New Roman" w:hAnsi="Times New Roman" w:cs="Times New Roman"/>
                <w:b/>
                <w:sz w:val="16"/>
                <w:szCs w:val="16"/>
              </w:rPr>
            </w:pPr>
          </w:p>
        </w:tc>
        <w:tc>
          <w:tcPr>
            <w:tcW w:w="2224" w:type="pct"/>
            <w:gridSpan w:val="2"/>
          </w:tcPr>
          <w:p w14:paraId="6D4DF86C"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 xml:space="preserve">The organization improves the relationship with external stakeholders </w:t>
            </w:r>
          </w:p>
        </w:tc>
        <w:tc>
          <w:tcPr>
            <w:tcW w:w="776" w:type="pct"/>
          </w:tcPr>
          <w:p w14:paraId="6340421D"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1.459 (0.146)</w:t>
            </w:r>
          </w:p>
        </w:tc>
      </w:tr>
      <w:tr w:rsidR="007A3B46" w:rsidRPr="00182B4E" w14:paraId="5193B737" w14:textId="77777777" w:rsidTr="00CD7CF1">
        <w:trPr>
          <w:trHeight w:val="227"/>
        </w:trPr>
        <w:tc>
          <w:tcPr>
            <w:tcW w:w="917" w:type="pct"/>
            <w:gridSpan w:val="2"/>
            <w:vMerge/>
          </w:tcPr>
          <w:p w14:paraId="1F12F594" w14:textId="77777777" w:rsidR="007A3B46" w:rsidRPr="00182B4E" w:rsidRDefault="007A3B46" w:rsidP="00CD7CF1">
            <w:pPr>
              <w:spacing w:line="276" w:lineRule="auto"/>
              <w:rPr>
                <w:rFonts w:ascii="Times New Roman" w:hAnsi="Times New Roman" w:cs="Times New Roman"/>
                <w:b/>
                <w:sz w:val="16"/>
                <w:szCs w:val="16"/>
              </w:rPr>
            </w:pPr>
          </w:p>
        </w:tc>
        <w:tc>
          <w:tcPr>
            <w:tcW w:w="1083" w:type="pct"/>
            <w:vMerge/>
          </w:tcPr>
          <w:p w14:paraId="3563E264" w14:textId="77777777" w:rsidR="007A3B46" w:rsidRPr="00182B4E" w:rsidRDefault="007A3B46" w:rsidP="00CD7CF1">
            <w:pPr>
              <w:spacing w:line="276" w:lineRule="auto"/>
              <w:rPr>
                <w:rFonts w:ascii="Times New Roman" w:hAnsi="Times New Roman" w:cs="Times New Roman"/>
                <w:b/>
                <w:sz w:val="16"/>
                <w:szCs w:val="16"/>
              </w:rPr>
            </w:pPr>
          </w:p>
        </w:tc>
        <w:tc>
          <w:tcPr>
            <w:tcW w:w="2224" w:type="pct"/>
            <w:gridSpan w:val="2"/>
          </w:tcPr>
          <w:p w14:paraId="53F0F5F0"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organization shares information with its stakeholders</w:t>
            </w:r>
          </w:p>
        </w:tc>
        <w:tc>
          <w:tcPr>
            <w:tcW w:w="776" w:type="pct"/>
          </w:tcPr>
          <w:p w14:paraId="5E17C955"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0.799 (0.425)</w:t>
            </w:r>
          </w:p>
        </w:tc>
      </w:tr>
      <w:tr w:rsidR="007A3B46" w:rsidRPr="00182B4E" w14:paraId="2308292A" w14:textId="77777777" w:rsidTr="00CD7CF1">
        <w:trPr>
          <w:trHeight w:val="227"/>
        </w:trPr>
        <w:tc>
          <w:tcPr>
            <w:tcW w:w="917" w:type="pct"/>
            <w:gridSpan w:val="2"/>
            <w:vMerge/>
          </w:tcPr>
          <w:p w14:paraId="2AE8A40E" w14:textId="77777777" w:rsidR="007A3B46" w:rsidRPr="00182B4E" w:rsidRDefault="007A3B46" w:rsidP="00CD7CF1">
            <w:pPr>
              <w:spacing w:line="276" w:lineRule="auto"/>
              <w:rPr>
                <w:rFonts w:ascii="Times New Roman" w:hAnsi="Times New Roman" w:cs="Times New Roman"/>
                <w:b/>
                <w:sz w:val="16"/>
                <w:szCs w:val="16"/>
              </w:rPr>
            </w:pPr>
          </w:p>
        </w:tc>
        <w:tc>
          <w:tcPr>
            <w:tcW w:w="1083" w:type="pct"/>
            <w:vMerge/>
          </w:tcPr>
          <w:p w14:paraId="39EA7637" w14:textId="77777777" w:rsidR="007A3B46" w:rsidRPr="00182B4E" w:rsidRDefault="007A3B46" w:rsidP="00CD7CF1">
            <w:pPr>
              <w:spacing w:line="276" w:lineRule="auto"/>
              <w:rPr>
                <w:rFonts w:ascii="Times New Roman" w:hAnsi="Times New Roman" w:cs="Times New Roman"/>
                <w:b/>
                <w:sz w:val="16"/>
                <w:szCs w:val="16"/>
              </w:rPr>
            </w:pPr>
          </w:p>
        </w:tc>
        <w:tc>
          <w:tcPr>
            <w:tcW w:w="2224" w:type="pct"/>
            <w:gridSpan w:val="2"/>
          </w:tcPr>
          <w:p w14:paraId="72C6009B"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 xml:space="preserve">The organization promotes the stakeholders’ participation in the decision-making </w:t>
            </w:r>
          </w:p>
        </w:tc>
        <w:tc>
          <w:tcPr>
            <w:tcW w:w="776" w:type="pct"/>
          </w:tcPr>
          <w:p w14:paraId="31123857"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1.148 (0.252)</w:t>
            </w:r>
          </w:p>
        </w:tc>
      </w:tr>
      <w:tr w:rsidR="007A3B46" w:rsidRPr="00182B4E" w14:paraId="2FA6F060" w14:textId="77777777" w:rsidTr="00CD7CF1">
        <w:trPr>
          <w:trHeight w:val="227"/>
        </w:trPr>
        <w:tc>
          <w:tcPr>
            <w:tcW w:w="917" w:type="pct"/>
            <w:gridSpan w:val="2"/>
            <w:vMerge/>
          </w:tcPr>
          <w:p w14:paraId="0B1FF5A5" w14:textId="77777777" w:rsidR="007A3B46" w:rsidRPr="00182B4E" w:rsidRDefault="007A3B46" w:rsidP="00CD7CF1">
            <w:pPr>
              <w:spacing w:line="276" w:lineRule="auto"/>
              <w:rPr>
                <w:rFonts w:ascii="Times New Roman" w:hAnsi="Times New Roman" w:cs="Times New Roman"/>
                <w:b/>
                <w:sz w:val="16"/>
                <w:szCs w:val="16"/>
              </w:rPr>
            </w:pPr>
          </w:p>
        </w:tc>
        <w:tc>
          <w:tcPr>
            <w:tcW w:w="1083" w:type="pct"/>
            <w:vMerge/>
          </w:tcPr>
          <w:p w14:paraId="641F760F" w14:textId="77777777" w:rsidR="007A3B46" w:rsidRPr="00182B4E" w:rsidRDefault="007A3B46" w:rsidP="00CD7CF1">
            <w:pPr>
              <w:spacing w:line="276" w:lineRule="auto"/>
              <w:rPr>
                <w:rFonts w:ascii="Times New Roman" w:hAnsi="Times New Roman" w:cs="Times New Roman"/>
                <w:b/>
                <w:sz w:val="16"/>
                <w:szCs w:val="16"/>
              </w:rPr>
            </w:pPr>
          </w:p>
        </w:tc>
        <w:tc>
          <w:tcPr>
            <w:tcW w:w="2224" w:type="pct"/>
            <w:gridSpan w:val="2"/>
          </w:tcPr>
          <w:p w14:paraId="2601035B"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organization facilitates accessible information to its stakeholders</w:t>
            </w:r>
          </w:p>
        </w:tc>
        <w:tc>
          <w:tcPr>
            <w:tcW w:w="776" w:type="pct"/>
          </w:tcPr>
          <w:p w14:paraId="0FEA6EBD"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1.572 (0.118)</w:t>
            </w:r>
          </w:p>
        </w:tc>
      </w:tr>
      <w:tr w:rsidR="007A3B46" w:rsidRPr="00182B4E" w14:paraId="78300D18" w14:textId="77777777" w:rsidTr="00CD7CF1">
        <w:trPr>
          <w:trHeight w:val="227"/>
        </w:trPr>
        <w:tc>
          <w:tcPr>
            <w:tcW w:w="917" w:type="pct"/>
            <w:gridSpan w:val="2"/>
            <w:vMerge/>
            <w:tcBorders>
              <w:bottom w:val="single" w:sz="4" w:space="0" w:color="auto"/>
            </w:tcBorders>
          </w:tcPr>
          <w:p w14:paraId="326050B1" w14:textId="77777777" w:rsidR="007A3B46" w:rsidRPr="00182B4E" w:rsidRDefault="007A3B46" w:rsidP="00CD7CF1">
            <w:pPr>
              <w:spacing w:line="276" w:lineRule="auto"/>
              <w:rPr>
                <w:rFonts w:ascii="Times New Roman" w:hAnsi="Times New Roman" w:cs="Times New Roman"/>
                <w:b/>
                <w:sz w:val="16"/>
                <w:szCs w:val="16"/>
              </w:rPr>
            </w:pPr>
          </w:p>
        </w:tc>
        <w:tc>
          <w:tcPr>
            <w:tcW w:w="1083" w:type="pct"/>
            <w:vMerge/>
            <w:tcBorders>
              <w:bottom w:val="single" w:sz="4" w:space="0" w:color="auto"/>
            </w:tcBorders>
          </w:tcPr>
          <w:p w14:paraId="34046A85" w14:textId="77777777" w:rsidR="007A3B46" w:rsidRPr="00182B4E" w:rsidRDefault="007A3B46" w:rsidP="00CD7CF1">
            <w:pPr>
              <w:spacing w:line="276" w:lineRule="auto"/>
              <w:rPr>
                <w:rFonts w:ascii="Times New Roman" w:hAnsi="Times New Roman" w:cs="Times New Roman"/>
                <w:b/>
                <w:sz w:val="16"/>
                <w:szCs w:val="16"/>
              </w:rPr>
            </w:pPr>
          </w:p>
        </w:tc>
        <w:tc>
          <w:tcPr>
            <w:tcW w:w="2224" w:type="pct"/>
            <w:gridSpan w:val="2"/>
            <w:tcBorders>
              <w:bottom w:val="single" w:sz="4" w:space="0" w:color="auto"/>
            </w:tcBorders>
          </w:tcPr>
          <w:p w14:paraId="28775073" w14:textId="77777777" w:rsidR="007A3B46" w:rsidRPr="00182B4E" w:rsidRDefault="007A3B46" w:rsidP="00CD7CF1">
            <w:pPr>
              <w:spacing w:line="276" w:lineRule="auto"/>
              <w:rPr>
                <w:rFonts w:ascii="Times New Roman" w:hAnsi="Times New Roman" w:cs="Times New Roman"/>
                <w:sz w:val="16"/>
                <w:szCs w:val="16"/>
              </w:rPr>
            </w:pPr>
            <w:r w:rsidRPr="00182B4E">
              <w:rPr>
                <w:rFonts w:ascii="Times New Roman" w:hAnsi="Times New Roman" w:cs="Times New Roman"/>
                <w:sz w:val="16"/>
                <w:szCs w:val="16"/>
              </w:rPr>
              <w:t>The organization maintain a high degree of visibility in its local community</w:t>
            </w:r>
          </w:p>
        </w:tc>
        <w:tc>
          <w:tcPr>
            <w:tcW w:w="776" w:type="pct"/>
            <w:tcBorders>
              <w:bottom w:val="single" w:sz="4" w:space="0" w:color="auto"/>
            </w:tcBorders>
          </w:tcPr>
          <w:p w14:paraId="04562758" w14:textId="77777777" w:rsidR="007A3B46" w:rsidRPr="00182B4E" w:rsidRDefault="007A3B46" w:rsidP="00CD7CF1">
            <w:pPr>
              <w:spacing w:line="276" w:lineRule="auto"/>
              <w:rPr>
                <w:rFonts w:ascii="Times New Roman" w:hAnsi="Times New Roman" w:cs="Times New Roman"/>
                <w:bCs/>
                <w:sz w:val="16"/>
                <w:szCs w:val="16"/>
              </w:rPr>
            </w:pPr>
            <w:r w:rsidRPr="00182B4E">
              <w:rPr>
                <w:rFonts w:ascii="Times New Roman" w:hAnsi="Times New Roman" w:cs="Times New Roman"/>
                <w:bCs/>
                <w:sz w:val="16"/>
                <w:szCs w:val="16"/>
              </w:rPr>
              <w:t>1.122 (0.264)</w:t>
            </w:r>
          </w:p>
        </w:tc>
      </w:tr>
    </w:tbl>
    <w:p w14:paraId="66733F69" w14:textId="77777777" w:rsidR="007A3B46" w:rsidRDefault="007A3B46" w:rsidP="007A3B46">
      <w:pPr>
        <w:ind w:left="708"/>
        <w:rPr>
          <w:rFonts w:ascii="Times New Roman" w:hAnsi="Times New Roman" w:cs="Times New Roman"/>
        </w:rPr>
      </w:pPr>
    </w:p>
    <w:p w14:paraId="6E549C59" w14:textId="77777777" w:rsidR="007A3B46" w:rsidRPr="00182B4E" w:rsidRDefault="007A3B46" w:rsidP="007A3B46">
      <w:pPr>
        <w:jc w:val="both"/>
        <w:rPr>
          <w:rFonts w:ascii="Times New Roman" w:hAnsi="Times New Roman" w:cs="Times New Roman"/>
          <w:i/>
          <w:sz w:val="24"/>
        </w:rPr>
      </w:pPr>
      <w:r w:rsidRPr="00182B4E">
        <w:rPr>
          <w:rFonts w:ascii="Times New Roman" w:hAnsi="Times New Roman" w:cs="Times New Roman"/>
          <w:i/>
          <w:sz w:val="24"/>
        </w:rPr>
        <w:t xml:space="preserve">It is possible to observe that there are no differences between both groups in the </w:t>
      </w:r>
      <w:proofErr w:type="spellStart"/>
      <w:r w:rsidRPr="00182B4E">
        <w:rPr>
          <w:rFonts w:ascii="Times New Roman" w:hAnsi="Times New Roman" w:cs="Times New Roman"/>
          <w:i/>
          <w:sz w:val="24"/>
        </w:rPr>
        <w:t>analysed</w:t>
      </w:r>
      <w:proofErr w:type="spellEnd"/>
      <w:r w:rsidRPr="00182B4E">
        <w:rPr>
          <w:rFonts w:ascii="Times New Roman" w:hAnsi="Times New Roman" w:cs="Times New Roman"/>
          <w:i/>
          <w:sz w:val="24"/>
        </w:rPr>
        <w:t xml:space="preserve"> variables, which would be an indicator about the lack of significant of this bias in the performed research.</w:t>
      </w:r>
    </w:p>
    <w:p w14:paraId="3EFEF02D" w14:textId="77777777" w:rsidR="007A3B46" w:rsidRPr="00182B4E" w:rsidRDefault="007A3B46" w:rsidP="007A3B46">
      <w:pPr>
        <w:jc w:val="both"/>
        <w:rPr>
          <w:rFonts w:ascii="Times New Roman" w:hAnsi="Times New Roman" w:cs="Times New Roman"/>
          <w:i/>
          <w:sz w:val="24"/>
          <w:lang w:val="en-GB"/>
        </w:rPr>
      </w:pPr>
      <w:r w:rsidRPr="00182B4E">
        <w:rPr>
          <w:rFonts w:ascii="Times New Roman" w:hAnsi="Times New Roman" w:cs="Times New Roman"/>
          <w:i/>
          <w:sz w:val="24"/>
          <w:lang w:val="en-GB"/>
        </w:rPr>
        <w:t xml:space="preserve">Moreover, we have developed a second ex-post analysis. As we have information extracted from the financial statements and activity reports deposited by </w:t>
      </w:r>
      <w:proofErr w:type="spellStart"/>
      <w:r w:rsidRPr="00182B4E">
        <w:rPr>
          <w:rFonts w:ascii="Times New Roman" w:hAnsi="Times New Roman" w:cs="Times New Roman"/>
          <w:i/>
          <w:sz w:val="24"/>
          <w:lang w:val="en-GB"/>
        </w:rPr>
        <w:t>nonprofit</w:t>
      </w:r>
      <w:proofErr w:type="spellEnd"/>
      <w:r w:rsidRPr="00182B4E">
        <w:rPr>
          <w:rFonts w:ascii="Times New Roman" w:hAnsi="Times New Roman" w:cs="Times New Roman"/>
          <w:i/>
          <w:sz w:val="24"/>
          <w:lang w:val="en-GB"/>
        </w:rPr>
        <w:t xml:space="preserve"> organization in the public register, we have tested the existence of possible differences between those who participated in the questionnaire and those who do not participate. This test was developed in relation to the endogenous variables (</w:t>
      </w:r>
      <w:r>
        <w:rPr>
          <w:rFonts w:ascii="Times New Roman" w:hAnsi="Times New Roman" w:cs="Times New Roman"/>
          <w:i/>
          <w:sz w:val="24"/>
          <w:lang w:val="en-GB"/>
        </w:rPr>
        <w:t xml:space="preserve">diversification </w:t>
      </w:r>
      <w:r w:rsidRPr="00182B4E">
        <w:rPr>
          <w:rFonts w:ascii="Times New Roman" w:hAnsi="Times New Roman" w:cs="Times New Roman"/>
          <w:i/>
          <w:sz w:val="24"/>
          <w:lang w:val="en-GB"/>
        </w:rPr>
        <w:t>indices) and the different income sources (Table 2).</w:t>
      </w:r>
    </w:p>
    <w:p w14:paraId="5550D346" w14:textId="77777777" w:rsidR="007A3B46" w:rsidRPr="00182B4E" w:rsidRDefault="007A3B46" w:rsidP="007A3B46">
      <w:pPr>
        <w:jc w:val="both"/>
        <w:rPr>
          <w:rFonts w:ascii="Times New Roman" w:hAnsi="Times New Roman" w:cs="Times New Roman"/>
          <w:i/>
          <w:sz w:val="24"/>
          <w:lang w:val="en-GB"/>
        </w:rPr>
      </w:pPr>
      <w:r w:rsidRPr="00182B4E">
        <w:rPr>
          <w:rFonts w:ascii="Times New Roman" w:hAnsi="Times New Roman" w:cs="Times New Roman"/>
          <w:b/>
          <w:bCs/>
          <w:i/>
          <w:sz w:val="24"/>
        </w:rPr>
        <w:lastRenderedPageBreak/>
        <w:t xml:space="preserve">Table 2. </w:t>
      </w:r>
      <w:r w:rsidRPr="00182B4E">
        <w:rPr>
          <w:rFonts w:ascii="Times New Roman" w:hAnsi="Times New Roman" w:cs="Times New Roman"/>
          <w:i/>
          <w:sz w:val="24"/>
        </w:rPr>
        <w:t>t test for independent samples (endogenous variables)</w:t>
      </w:r>
    </w:p>
    <w:tbl>
      <w:tblPr>
        <w:tblW w:w="5001" w:type="pct"/>
        <w:tblLook w:val="04A0" w:firstRow="1" w:lastRow="0" w:firstColumn="1" w:lastColumn="0" w:noHBand="0" w:noVBand="1"/>
      </w:tblPr>
      <w:tblGrid>
        <w:gridCol w:w="2684"/>
        <w:gridCol w:w="1164"/>
        <w:gridCol w:w="3351"/>
        <w:gridCol w:w="1307"/>
      </w:tblGrid>
      <w:tr w:rsidR="007A3B46" w:rsidRPr="000C76FE" w14:paraId="47E74E99" w14:textId="77777777" w:rsidTr="00CD7CF1">
        <w:trPr>
          <w:trHeight w:val="336"/>
        </w:trPr>
        <w:tc>
          <w:tcPr>
            <w:tcW w:w="1578" w:type="pct"/>
            <w:tcBorders>
              <w:top w:val="single" w:sz="4" w:space="0" w:color="000000" w:themeColor="text1"/>
              <w:bottom w:val="single" w:sz="4" w:space="0" w:color="000000" w:themeColor="text1"/>
            </w:tcBorders>
            <w:shd w:val="clear" w:color="auto" w:fill="auto"/>
            <w:vAlign w:val="center"/>
          </w:tcPr>
          <w:p w14:paraId="18C617F9" w14:textId="77777777" w:rsidR="007A3B46" w:rsidRPr="000C76FE" w:rsidRDefault="007A3B46" w:rsidP="00CD7CF1">
            <w:pPr>
              <w:spacing w:after="0" w:line="276" w:lineRule="auto"/>
              <w:jc w:val="center"/>
              <w:rPr>
                <w:rFonts w:ascii="Times New Roman" w:hAnsi="Times New Roman" w:cs="Times New Roman"/>
                <w:sz w:val="16"/>
                <w:szCs w:val="16"/>
              </w:rPr>
            </w:pPr>
            <w:r w:rsidRPr="002273E7">
              <w:rPr>
                <w:rFonts w:ascii="Times New Roman" w:hAnsi="Times New Roman" w:cs="Times New Roman"/>
                <w:b/>
                <w:sz w:val="16"/>
                <w:szCs w:val="16"/>
              </w:rPr>
              <w:t>Indicator</w:t>
            </w:r>
          </w:p>
        </w:tc>
        <w:tc>
          <w:tcPr>
            <w:tcW w:w="684" w:type="pct"/>
            <w:tcBorders>
              <w:top w:val="single" w:sz="4" w:space="0" w:color="000000" w:themeColor="text1"/>
              <w:bottom w:val="single" w:sz="4" w:space="0" w:color="000000" w:themeColor="text1"/>
            </w:tcBorders>
            <w:shd w:val="clear" w:color="auto" w:fill="auto"/>
            <w:noWrap/>
            <w:vAlign w:val="center"/>
          </w:tcPr>
          <w:p w14:paraId="02926262" w14:textId="77777777" w:rsidR="007A3B46" w:rsidRPr="000C76FE" w:rsidRDefault="007A3B46" w:rsidP="00CD7CF1">
            <w:pPr>
              <w:spacing w:after="0" w:line="240" w:lineRule="auto"/>
              <w:jc w:val="center"/>
              <w:rPr>
                <w:rFonts w:ascii="Times New Roman" w:hAnsi="Times New Roman" w:cs="Times New Roman"/>
                <w:sz w:val="16"/>
                <w:szCs w:val="16"/>
              </w:rPr>
            </w:pPr>
            <w:r w:rsidRPr="002273E7">
              <w:rPr>
                <w:rFonts w:ascii="Times New Roman" w:hAnsi="Times New Roman" w:cs="Times New Roman"/>
                <w:b/>
                <w:sz w:val="16"/>
                <w:szCs w:val="16"/>
              </w:rPr>
              <w:t>t-test</w:t>
            </w:r>
            <w:r>
              <w:rPr>
                <w:rFonts w:ascii="Times New Roman" w:hAnsi="Times New Roman" w:cs="Times New Roman"/>
                <w:b/>
                <w:sz w:val="16"/>
                <w:szCs w:val="16"/>
              </w:rPr>
              <w:t xml:space="preserve"> </w:t>
            </w:r>
            <w:r w:rsidRPr="002273E7">
              <w:rPr>
                <w:rFonts w:ascii="Times New Roman" w:hAnsi="Times New Roman" w:cs="Times New Roman"/>
                <w:b/>
                <w:sz w:val="16"/>
                <w:szCs w:val="16"/>
              </w:rPr>
              <w:t>(</w:t>
            </w:r>
            <w:proofErr w:type="spellStart"/>
            <w:r w:rsidRPr="002273E7">
              <w:rPr>
                <w:rFonts w:ascii="Times New Roman" w:hAnsi="Times New Roman" w:cs="Times New Roman"/>
                <w:b/>
                <w:sz w:val="16"/>
                <w:szCs w:val="16"/>
              </w:rPr>
              <w:t>pvalue</w:t>
            </w:r>
            <w:proofErr w:type="spellEnd"/>
            <w:r w:rsidRPr="002273E7">
              <w:rPr>
                <w:rFonts w:ascii="Times New Roman" w:hAnsi="Times New Roman" w:cs="Times New Roman"/>
                <w:b/>
                <w:sz w:val="16"/>
                <w:szCs w:val="16"/>
              </w:rPr>
              <w:t>)</w:t>
            </w:r>
          </w:p>
        </w:tc>
        <w:tc>
          <w:tcPr>
            <w:tcW w:w="1970" w:type="pct"/>
            <w:tcBorders>
              <w:top w:val="single" w:sz="4" w:space="0" w:color="000000" w:themeColor="text1"/>
              <w:bottom w:val="single" w:sz="4" w:space="0" w:color="000000" w:themeColor="text1"/>
            </w:tcBorders>
            <w:vAlign w:val="center"/>
          </w:tcPr>
          <w:p w14:paraId="44D5028C" w14:textId="77777777" w:rsidR="007A3B46" w:rsidRPr="002273E7" w:rsidRDefault="007A3B46" w:rsidP="00CD7CF1">
            <w:pPr>
              <w:spacing w:after="0" w:line="240" w:lineRule="auto"/>
              <w:jc w:val="center"/>
              <w:rPr>
                <w:rFonts w:ascii="Times New Roman" w:hAnsi="Times New Roman" w:cs="Times New Roman"/>
                <w:b/>
                <w:sz w:val="16"/>
                <w:szCs w:val="16"/>
              </w:rPr>
            </w:pPr>
            <w:r w:rsidRPr="002273E7">
              <w:rPr>
                <w:rFonts w:ascii="Times New Roman" w:hAnsi="Times New Roman" w:cs="Times New Roman"/>
                <w:b/>
                <w:sz w:val="16"/>
                <w:szCs w:val="16"/>
              </w:rPr>
              <w:t>Indicator</w:t>
            </w:r>
          </w:p>
        </w:tc>
        <w:tc>
          <w:tcPr>
            <w:tcW w:w="768" w:type="pct"/>
            <w:tcBorders>
              <w:top w:val="single" w:sz="4" w:space="0" w:color="000000" w:themeColor="text1"/>
              <w:bottom w:val="single" w:sz="4" w:space="0" w:color="000000" w:themeColor="text1"/>
            </w:tcBorders>
            <w:vAlign w:val="center"/>
          </w:tcPr>
          <w:p w14:paraId="3ACF9080" w14:textId="77777777" w:rsidR="007A3B46" w:rsidRPr="002273E7" w:rsidRDefault="007A3B46" w:rsidP="00CD7CF1">
            <w:pPr>
              <w:spacing w:after="0" w:line="240" w:lineRule="auto"/>
              <w:jc w:val="center"/>
              <w:rPr>
                <w:rFonts w:ascii="Times New Roman" w:hAnsi="Times New Roman" w:cs="Times New Roman"/>
                <w:b/>
                <w:sz w:val="16"/>
                <w:szCs w:val="16"/>
              </w:rPr>
            </w:pPr>
            <w:r w:rsidRPr="002273E7">
              <w:rPr>
                <w:rFonts w:ascii="Times New Roman" w:hAnsi="Times New Roman" w:cs="Times New Roman"/>
                <w:b/>
                <w:sz w:val="16"/>
                <w:szCs w:val="16"/>
              </w:rPr>
              <w:t>t-test</w:t>
            </w:r>
            <w:r>
              <w:rPr>
                <w:rFonts w:ascii="Times New Roman" w:hAnsi="Times New Roman" w:cs="Times New Roman"/>
                <w:b/>
                <w:sz w:val="16"/>
                <w:szCs w:val="16"/>
              </w:rPr>
              <w:t xml:space="preserve"> </w:t>
            </w:r>
            <w:r w:rsidRPr="002273E7">
              <w:rPr>
                <w:rFonts w:ascii="Times New Roman" w:hAnsi="Times New Roman" w:cs="Times New Roman"/>
                <w:b/>
                <w:sz w:val="16"/>
                <w:szCs w:val="16"/>
              </w:rPr>
              <w:t>(</w:t>
            </w:r>
            <w:proofErr w:type="spellStart"/>
            <w:r w:rsidRPr="002273E7">
              <w:rPr>
                <w:rFonts w:ascii="Times New Roman" w:hAnsi="Times New Roman" w:cs="Times New Roman"/>
                <w:b/>
                <w:sz w:val="16"/>
                <w:szCs w:val="16"/>
              </w:rPr>
              <w:t>pvalue</w:t>
            </w:r>
            <w:proofErr w:type="spellEnd"/>
            <w:r w:rsidRPr="002273E7">
              <w:rPr>
                <w:rFonts w:ascii="Times New Roman" w:hAnsi="Times New Roman" w:cs="Times New Roman"/>
                <w:b/>
                <w:sz w:val="16"/>
                <w:szCs w:val="16"/>
              </w:rPr>
              <w:t>)</w:t>
            </w:r>
          </w:p>
        </w:tc>
      </w:tr>
      <w:tr w:rsidR="007A3B46" w:rsidRPr="000C76FE" w14:paraId="319CA7B6" w14:textId="77777777" w:rsidTr="00CD7CF1">
        <w:trPr>
          <w:trHeight w:val="20"/>
        </w:trPr>
        <w:tc>
          <w:tcPr>
            <w:tcW w:w="1578" w:type="pct"/>
            <w:tcBorders>
              <w:top w:val="single" w:sz="4" w:space="0" w:color="000000" w:themeColor="text1"/>
            </w:tcBorders>
            <w:shd w:val="clear" w:color="auto" w:fill="auto"/>
            <w:hideMark/>
          </w:tcPr>
          <w:p w14:paraId="0FBF2418" w14:textId="77777777" w:rsidR="007A3B46" w:rsidRPr="000C76FE" w:rsidRDefault="007A3B46" w:rsidP="00CD7CF1">
            <w:pPr>
              <w:spacing w:after="0" w:line="276" w:lineRule="auto"/>
              <w:rPr>
                <w:rFonts w:ascii="Times New Roman" w:hAnsi="Times New Roman" w:cs="Times New Roman"/>
                <w:sz w:val="16"/>
                <w:szCs w:val="16"/>
              </w:rPr>
            </w:pPr>
            <w:r>
              <w:rPr>
                <w:rFonts w:ascii="Times New Roman" w:hAnsi="Times New Roman" w:cs="Times New Roman"/>
                <w:sz w:val="16"/>
                <w:szCs w:val="16"/>
              </w:rPr>
              <w:t>P</w:t>
            </w:r>
            <w:r w:rsidRPr="0077328A">
              <w:rPr>
                <w:rFonts w:ascii="Times New Roman" w:hAnsi="Times New Roman" w:cs="Times New Roman"/>
                <w:sz w:val="16"/>
                <w:szCs w:val="16"/>
              </w:rPr>
              <w:t xml:space="preserve">rivate donations </w:t>
            </w:r>
            <w:r>
              <w:rPr>
                <w:rFonts w:ascii="Times New Roman" w:hAnsi="Times New Roman" w:cs="Times New Roman"/>
                <w:sz w:val="16"/>
                <w:szCs w:val="16"/>
              </w:rPr>
              <w:t>share</w:t>
            </w:r>
            <w:r w:rsidRPr="000C76FE">
              <w:rPr>
                <w:rFonts w:ascii="Times New Roman" w:hAnsi="Times New Roman" w:cs="Times New Roman"/>
                <w:sz w:val="16"/>
                <w:szCs w:val="16"/>
              </w:rPr>
              <w:t xml:space="preserve"> 2008</w:t>
            </w:r>
          </w:p>
        </w:tc>
        <w:tc>
          <w:tcPr>
            <w:tcW w:w="684" w:type="pct"/>
            <w:tcBorders>
              <w:top w:val="single" w:sz="4" w:space="0" w:color="000000" w:themeColor="text1"/>
            </w:tcBorders>
            <w:shd w:val="clear" w:color="auto" w:fill="auto"/>
            <w:noWrap/>
            <w:vAlign w:val="bottom"/>
            <w:hideMark/>
          </w:tcPr>
          <w:p w14:paraId="32D85E66" w14:textId="77777777" w:rsidR="007A3B46" w:rsidRPr="000C76FE"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0,969</w:t>
            </w:r>
            <w:r>
              <w:rPr>
                <w:rFonts w:ascii="Times New Roman" w:hAnsi="Times New Roman" w:cs="Times New Roman"/>
                <w:sz w:val="16"/>
                <w:szCs w:val="16"/>
              </w:rPr>
              <w:t xml:space="preserve"> </w:t>
            </w:r>
            <w:r w:rsidRPr="00292561">
              <w:rPr>
                <w:rFonts w:ascii="Times New Roman" w:hAnsi="Times New Roman" w:cs="Times New Roman"/>
                <w:sz w:val="16"/>
                <w:szCs w:val="16"/>
              </w:rPr>
              <w:t>(0,334)</w:t>
            </w:r>
          </w:p>
        </w:tc>
        <w:tc>
          <w:tcPr>
            <w:tcW w:w="1970" w:type="pct"/>
            <w:tcBorders>
              <w:top w:val="single" w:sz="4" w:space="0" w:color="000000" w:themeColor="text1"/>
            </w:tcBorders>
          </w:tcPr>
          <w:p w14:paraId="31AA32F1" w14:textId="77777777" w:rsidR="007A3B46" w:rsidRPr="00292561" w:rsidRDefault="007A3B46" w:rsidP="00CD7CF1">
            <w:pPr>
              <w:spacing w:after="0" w:line="276" w:lineRule="auto"/>
              <w:rPr>
                <w:rFonts w:ascii="Times New Roman" w:hAnsi="Times New Roman" w:cs="Times New Roman"/>
                <w:sz w:val="16"/>
                <w:szCs w:val="16"/>
              </w:rPr>
            </w:pPr>
            <w:r w:rsidRPr="0077328A">
              <w:rPr>
                <w:rFonts w:ascii="Times New Roman" w:hAnsi="Times New Roman" w:cs="Times New Roman"/>
                <w:sz w:val="16"/>
                <w:szCs w:val="16"/>
              </w:rPr>
              <w:t xml:space="preserve">Herfindahl-Hirschman </w:t>
            </w:r>
            <w:proofErr w:type="spellStart"/>
            <w:r w:rsidRPr="0077328A">
              <w:rPr>
                <w:rFonts w:ascii="Times New Roman" w:hAnsi="Times New Roman" w:cs="Times New Roman"/>
                <w:sz w:val="16"/>
                <w:szCs w:val="16"/>
              </w:rPr>
              <w:t>Normalised</w:t>
            </w:r>
            <w:proofErr w:type="spellEnd"/>
            <w:r w:rsidRPr="0077328A">
              <w:rPr>
                <w:rFonts w:ascii="Times New Roman" w:hAnsi="Times New Roman" w:cs="Times New Roman"/>
                <w:sz w:val="16"/>
                <w:szCs w:val="16"/>
              </w:rPr>
              <w:t xml:space="preserve"> Index </w:t>
            </w:r>
            <w:r w:rsidRPr="000C76FE">
              <w:rPr>
                <w:rFonts w:ascii="Times New Roman" w:hAnsi="Times New Roman" w:cs="Times New Roman"/>
                <w:sz w:val="16"/>
                <w:szCs w:val="16"/>
              </w:rPr>
              <w:t>2008</w:t>
            </w:r>
          </w:p>
        </w:tc>
        <w:tc>
          <w:tcPr>
            <w:tcW w:w="768" w:type="pct"/>
            <w:tcBorders>
              <w:top w:val="single" w:sz="4" w:space="0" w:color="000000" w:themeColor="text1"/>
            </w:tcBorders>
            <w:vAlign w:val="bottom"/>
          </w:tcPr>
          <w:p w14:paraId="697110C1" w14:textId="77777777" w:rsidR="007A3B46" w:rsidRPr="00292561"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1,535</w:t>
            </w:r>
            <w:r>
              <w:rPr>
                <w:rFonts w:ascii="Times New Roman" w:hAnsi="Times New Roman" w:cs="Times New Roman"/>
                <w:sz w:val="16"/>
                <w:szCs w:val="16"/>
              </w:rPr>
              <w:t xml:space="preserve"> </w:t>
            </w:r>
            <w:r w:rsidRPr="00292561">
              <w:rPr>
                <w:rFonts w:ascii="Times New Roman" w:hAnsi="Times New Roman" w:cs="Times New Roman"/>
                <w:sz w:val="16"/>
                <w:szCs w:val="16"/>
              </w:rPr>
              <w:t>(0,126)</w:t>
            </w:r>
          </w:p>
        </w:tc>
      </w:tr>
      <w:tr w:rsidR="007A3B46" w:rsidRPr="000C76FE" w14:paraId="2FF5E8B9" w14:textId="77777777" w:rsidTr="00CD7CF1">
        <w:trPr>
          <w:trHeight w:val="20"/>
        </w:trPr>
        <w:tc>
          <w:tcPr>
            <w:tcW w:w="1578" w:type="pct"/>
            <w:shd w:val="clear" w:color="auto" w:fill="auto"/>
            <w:hideMark/>
          </w:tcPr>
          <w:p w14:paraId="61DAC4A9" w14:textId="77777777" w:rsidR="007A3B46" w:rsidRPr="000C76FE" w:rsidRDefault="007A3B46" w:rsidP="00CD7CF1">
            <w:pPr>
              <w:spacing w:after="0" w:line="276" w:lineRule="auto"/>
              <w:rPr>
                <w:rFonts w:ascii="Times New Roman" w:hAnsi="Times New Roman" w:cs="Times New Roman"/>
                <w:sz w:val="16"/>
                <w:szCs w:val="16"/>
              </w:rPr>
            </w:pPr>
            <w:r>
              <w:rPr>
                <w:rFonts w:ascii="Times New Roman" w:hAnsi="Times New Roman" w:cs="Times New Roman"/>
                <w:sz w:val="16"/>
                <w:szCs w:val="16"/>
              </w:rPr>
              <w:t>P</w:t>
            </w:r>
            <w:r w:rsidRPr="0077328A">
              <w:rPr>
                <w:rFonts w:ascii="Times New Roman" w:hAnsi="Times New Roman" w:cs="Times New Roman"/>
                <w:sz w:val="16"/>
                <w:szCs w:val="16"/>
              </w:rPr>
              <w:t xml:space="preserve">rivate donations </w:t>
            </w:r>
            <w:r>
              <w:rPr>
                <w:rFonts w:ascii="Times New Roman" w:hAnsi="Times New Roman" w:cs="Times New Roman"/>
                <w:sz w:val="16"/>
                <w:szCs w:val="16"/>
              </w:rPr>
              <w:t>share</w:t>
            </w:r>
            <w:r w:rsidRPr="000C76FE">
              <w:rPr>
                <w:rFonts w:ascii="Times New Roman" w:hAnsi="Times New Roman" w:cs="Times New Roman"/>
                <w:sz w:val="16"/>
                <w:szCs w:val="16"/>
              </w:rPr>
              <w:t xml:space="preserve"> 201</w:t>
            </w:r>
            <w:r>
              <w:rPr>
                <w:rFonts w:ascii="Times New Roman" w:hAnsi="Times New Roman" w:cs="Times New Roman"/>
                <w:sz w:val="16"/>
                <w:szCs w:val="16"/>
              </w:rPr>
              <w:t>8</w:t>
            </w:r>
          </w:p>
        </w:tc>
        <w:tc>
          <w:tcPr>
            <w:tcW w:w="684" w:type="pct"/>
            <w:shd w:val="clear" w:color="auto" w:fill="auto"/>
            <w:noWrap/>
            <w:vAlign w:val="bottom"/>
            <w:hideMark/>
          </w:tcPr>
          <w:p w14:paraId="20B7758B" w14:textId="77777777" w:rsidR="007A3B46" w:rsidRPr="000C76FE"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0,18</w:t>
            </w:r>
            <w:r>
              <w:rPr>
                <w:rFonts w:ascii="Times New Roman" w:hAnsi="Times New Roman" w:cs="Times New Roman"/>
                <w:sz w:val="16"/>
                <w:szCs w:val="16"/>
              </w:rPr>
              <w:t xml:space="preserve">0 </w:t>
            </w:r>
            <w:r w:rsidRPr="00292561">
              <w:rPr>
                <w:rFonts w:ascii="Times New Roman" w:hAnsi="Times New Roman" w:cs="Times New Roman"/>
                <w:sz w:val="16"/>
                <w:szCs w:val="16"/>
              </w:rPr>
              <w:t>(0,857)</w:t>
            </w:r>
          </w:p>
        </w:tc>
        <w:tc>
          <w:tcPr>
            <w:tcW w:w="1970" w:type="pct"/>
          </w:tcPr>
          <w:p w14:paraId="3925096C" w14:textId="77777777" w:rsidR="007A3B46" w:rsidRPr="00292561" w:rsidRDefault="007A3B46" w:rsidP="00CD7CF1">
            <w:pPr>
              <w:spacing w:after="0" w:line="276" w:lineRule="auto"/>
              <w:rPr>
                <w:rFonts w:ascii="Times New Roman" w:hAnsi="Times New Roman" w:cs="Times New Roman"/>
                <w:sz w:val="16"/>
                <w:szCs w:val="16"/>
              </w:rPr>
            </w:pPr>
            <w:r w:rsidRPr="0077328A">
              <w:rPr>
                <w:rFonts w:ascii="Times New Roman" w:hAnsi="Times New Roman" w:cs="Times New Roman"/>
                <w:sz w:val="16"/>
                <w:szCs w:val="16"/>
              </w:rPr>
              <w:t xml:space="preserve">Herfindahl-Hirschman </w:t>
            </w:r>
            <w:proofErr w:type="spellStart"/>
            <w:r w:rsidRPr="0077328A">
              <w:rPr>
                <w:rFonts w:ascii="Times New Roman" w:hAnsi="Times New Roman" w:cs="Times New Roman"/>
                <w:sz w:val="16"/>
                <w:szCs w:val="16"/>
              </w:rPr>
              <w:t>Normalised</w:t>
            </w:r>
            <w:proofErr w:type="spellEnd"/>
            <w:r w:rsidRPr="0077328A">
              <w:rPr>
                <w:rFonts w:ascii="Times New Roman" w:hAnsi="Times New Roman" w:cs="Times New Roman"/>
                <w:sz w:val="16"/>
                <w:szCs w:val="16"/>
              </w:rPr>
              <w:t xml:space="preserve"> Index </w:t>
            </w:r>
            <w:r w:rsidRPr="000C76FE">
              <w:rPr>
                <w:rFonts w:ascii="Times New Roman" w:hAnsi="Times New Roman" w:cs="Times New Roman"/>
                <w:sz w:val="16"/>
                <w:szCs w:val="16"/>
              </w:rPr>
              <w:t>201</w:t>
            </w:r>
            <w:r>
              <w:rPr>
                <w:rFonts w:ascii="Times New Roman" w:hAnsi="Times New Roman" w:cs="Times New Roman"/>
                <w:sz w:val="16"/>
                <w:szCs w:val="16"/>
              </w:rPr>
              <w:t>8</w:t>
            </w:r>
          </w:p>
        </w:tc>
        <w:tc>
          <w:tcPr>
            <w:tcW w:w="768" w:type="pct"/>
            <w:vAlign w:val="bottom"/>
          </w:tcPr>
          <w:p w14:paraId="5CE7495A" w14:textId="77777777" w:rsidR="007A3B46" w:rsidRPr="00292561"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1,211</w:t>
            </w:r>
            <w:r>
              <w:rPr>
                <w:rFonts w:ascii="Times New Roman" w:hAnsi="Times New Roman" w:cs="Times New Roman"/>
                <w:sz w:val="16"/>
                <w:szCs w:val="16"/>
              </w:rPr>
              <w:t xml:space="preserve"> </w:t>
            </w:r>
            <w:r w:rsidRPr="00292561">
              <w:rPr>
                <w:rFonts w:ascii="Times New Roman" w:hAnsi="Times New Roman" w:cs="Times New Roman"/>
                <w:sz w:val="16"/>
                <w:szCs w:val="16"/>
              </w:rPr>
              <w:t>(0,228)</w:t>
            </w:r>
          </w:p>
        </w:tc>
      </w:tr>
      <w:tr w:rsidR="007A3B46" w:rsidRPr="000C76FE" w14:paraId="179CCE73" w14:textId="77777777" w:rsidTr="00CD7CF1">
        <w:trPr>
          <w:trHeight w:val="20"/>
        </w:trPr>
        <w:tc>
          <w:tcPr>
            <w:tcW w:w="1578" w:type="pct"/>
            <w:shd w:val="clear" w:color="auto" w:fill="auto"/>
            <w:hideMark/>
          </w:tcPr>
          <w:p w14:paraId="07EDD1AF" w14:textId="77777777" w:rsidR="007A3B46" w:rsidRPr="000C76FE" w:rsidRDefault="007A3B46" w:rsidP="00CD7CF1">
            <w:pPr>
              <w:spacing w:after="0" w:line="276" w:lineRule="auto"/>
              <w:rPr>
                <w:rFonts w:ascii="Times New Roman" w:hAnsi="Times New Roman" w:cs="Times New Roman"/>
                <w:sz w:val="16"/>
                <w:szCs w:val="16"/>
              </w:rPr>
            </w:pPr>
            <w:r>
              <w:rPr>
                <w:rFonts w:ascii="Times New Roman" w:hAnsi="Times New Roman" w:cs="Times New Roman"/>
                <w:sz w:val="16"/>
                <w:szCs w:val="16"/>
              </w:rPr>
              <w:t xml:space="preserve">Government funding share </w:t>
            </w:r>
            <w:r w:rsidRPr="000C76FE">
              <w:rPr>
                <w:rFonts w:ascii="Times New Roman" w:hAnsi="Times New Roman" w:cs="Times New Roman"/>
                <w:sz w:val="16"/>
                <w:szCs w:val="16"/>
              </w:rPr>
              <w:t>2008</w:t>
            </w:r>
          </w:p>
        </w:tc>
        <w:tc>
          <w:tcPr>
            <w:tcW w:w="684" w:type="pct"/>
            <w:shd w:val="clear" w:color="auto" w:fill="auto"/>
            <w:noWrap/>
            <w:vAlign w:val="bottom"/>
            <w:hideMark/>
          </w:tcPr>
          <w:p w14:paraId="4991DD32" w14:textId="77777777" w:rsidR="007A3B46" w:rsidRPr="000C76FE"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-0,154</w:t>
            </w:r>
            <w:r>
              <w:rPr>
                <w:rFonts w:ascii="Times New Roman" w:hAnsi="Times New Roman" w:cs="Times New Roman"/>
                <w:sz w:val="16"/>
                <w:szCs w:val="16"/>
              </w:rPr>
              <w:t xml:space="preserve"> </w:t>
            </w:r>
            <w:r w:rsidRPr="00292561">
              <w:rPr>
                <w:rFonts w:ascii="Times New Roman" w:hAnsi="Times New Roman" w:cs="Times New Roman"/>
                <w:sz w:val="16"/>
                <w:szCs w:val="16"/>
              </w:rPr>
              <w:t>(0,878)</w:t>
            </w:r>
          </w:p>
        </w:tc>
        <w:tc>
          <w:tcPr>
            <w:tcW w:w="1970" w:type="pct"/>
          </w:tcPr>
          <w:p w14:paraId="7BDFB0F6" w14:textId="77777777" w:rsidR="007A3B46" w:rsidRPr="00292561" w:rsidRDefault="007A3B46" w:rsidP="00CD7CF1">
            <w:pPr>
              <w:spacing w:after="0" w:line="276" w:lineRule="auto"/>
              <w:rPr>
                <w:rFonts w:ascii="Times New Roman" w:hAnsi="Times New Roman" w:cs="Times New Roman"/>
                <w:sz w:val="16"/>
                <w:szCs w:val="16"/>
              </w:rPr>
            </w:pPr>
            <w:r w:rsidRPr="0077328A">
              <w:rPr>
                <w:rFonts w:ascii="Times New Roman" w:hAnsi="Times New Roman" w:cs="Times New Roman"/>
                <w:sz w:val="16"/>
                <w:szCs w:val="16"/>
              </w:rPr>
              <w:t xml:space="preserve">Entropy </w:t>
            </w:r>
            <w:r w:rsidRPr="000C76FE">
              <w:rPr>
                <w:rFonts w:ascii="Times New Roman" w:hAnsi="Times New Roman" w:cs="Times New Roman"/>
                <w:sz w:val="16"/>
                <w:szCs w:val="16"/>
              </w:rPr>
              <w:t>2008</w:t>
            </w:r>
          </w:p>
        </w:tc>
        <w:tc>
          <w:tcPr>
            <w:tcW w:w="768" w:type="pct"/>
            <w:vAlign w:val="bottom"/>
          </w:tcPr>
          <w:p w14:paraId="4F94B97D" w14:textId="77777777" w:rsidR="007A3B46" w:rsidRPr="00292561"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-0,463</w:t>
            </w:r>
            <w:r>
              <w:rPr>
                <w:rFonts w:ascii="Times New Roman" w:hAnsi="Times New Roman" w:cs="Times New Roman"/>
                <w:sz w:val="16"/>
                <w:szCs w:val="16"/>
              </w:rPr>
              <w:t xml:space="preserve"> </w:t>
            </w:r>
            <w:r w:rsidRPr="00292561">
              <w:rPr>
                <w:rFonts w:ascii="Times New Roman" w:hAnsi="Times New Roman" w:cs="Times New Roman"/>
                <w:sz w:val="16"/>
                <w:szCs w:val="16"/>
              </w:rPr>
              <w:t>(0,644)</w:t>
            </w:r>
          </w:p>
        </w:tc>
      </w:tr>
      <w:tr w:rsidR="007A3B46" w:rsidRPr="000C76FE" w14:paraId="5A2F3EE8" w14:textId="77777777" w:rsidTr="00CD7CF1">
        <w:trPr>
          <w:trHeight w:val="20"/>
        </w:trPr>
        <w:tc>
          <w:tcPr>
            <w:tcW w:w="1578" w:type="pct"/>
            <w:shd w:val="clear" w:color="auto" w:fill="auto"/>
            <w:hideMark/>
          </w:tcPr>
          <w:p w14:paraId="75A8C3AD" w14:textId="77777777" w:rsidR="007A3B46" w:rsidRPr="000C76FE" w:rsidRDefault="007A3B46" w:rsidP="00CD7CF1">
            <w:pPr>
              <w:spacing w:after="0" w:line="276" w:lineRule="auto"/>
              <w:rPr>
                <w:rFonts w:ascii="Times New Roman" w:hAnsi="Times New Roman" w:cs="Times New Roman"/>
                <w:sz w:val="16"/>
                <w:szCs w:val="16"/>
              </w:rPr>
            </w:pPr>
            <w:r>
              <w:rPr>
                <w:rFonts w:ascii="Times New Roman" w:hAnsi="Times New Roman" w:cs="Times New Roman"/>
                <w:sz w:val="16"/>
                <w:szCs w:val="16"/>
              </w:rPr>
              <w:t>Government funding share</w:t>
            </w:r>
            <w:r w:rsidRPr="000C76FE">
              <w:rPr>
                <w:rFonts w:ascii="Times New Roman" w:hAnsi="Times New Roman" w:cs="Times New Roman"/>
                <w:sz w:val="16"/>
                <w:szCs w:val="16"/>
              </w:rPr>
              <w:t xml:space="preserve"> 201</w:t>
            </w:r>
            <w:r>
              <w:rPr>
                <w:rFonts w:ascii="Times New Roman" w:hAnsi="Times New Roman" w:cs="Times New Roman"/>
                <w:sz w:val="16"/>
                <w:szCs w:val="16"/>
              </w:rPr>
              <w:t>8</w:t>
            </w:r>
          </w:p>
        </w:tc>
        <w:tc>
          <w:tcPr>
            <w:tcW w:w="684" w:type="pct"/>
            <w:shd w:val="clear" w:color="auto" w:fill="auto"/>
            <w:noWrap/>
            <w:vAlign w:val="bottom"/>
            <w:hideMark/>
          </w:tcPr>
          <w:p w14:paraId="6667C300" w14:textId="77777777" w:rsidR="007A3B46" w:rsidRPr="000C76FE"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-1,165</w:t>
            </w:r>
            <w:r>
              <w:rPr>
                <w:rFonts w:ascii="Times New Roman" w:hAnsi="Times New Roman" w:cs="Times New Roman"/>
                <w:sz w:val="16"/>
                <w:szCs w:val="16"/>
              </w:rPr>
              <w:t xml:space="preserve"> </w:t>
            </w:r>
            <w:r w:rsidRPr="00292561">
              <w:rPr>
                <w:rFonts w:ascii="Times New Roman" w:hAnsi="Times New Roman" w:cs="Times New Roman"/>
                <w:sz w:val="16"/>
                <w:szCs w:val="16"/>
              </w:rPr>
              <w:t>(0,246)</w:t>
            </w:r>
          </w:p>
        </w:tc>
        <w:tc>
          <w:tcPr>
            <w:tcW w:w="1970" w:type="pct"/>
          </w:tcPr>
          <w:p w14:paraId="35B0BA48" w14:textId="77777777" w:rsidR="007A3B46" w:rsidRPr="00292561" w:rsidRDefault="007A3B46" w:rsidP="00CD7CF1">
            <w:pPr>
              <w:spacing w:after="0" w:line="276" w:lineRule="auto"/>
              <w:rPr>
                <w:rFonts w:ascii="Times New Roman" w:hAnsi="Times New Roman" w:cs="Times New Roman"/>
                <w:sz w:val="16"/>
                <w:szCs w:val="16"/>
              </w:rPr>
            </w:pPr>
            <w:r w:rsidRPr="0077328A">
              <w:rPr>
                <w:rFonts w:ascii="Times New Roman" w:hAnsi="Times New Roman" w:cs="Times New Roman"/>
                <w:sz w:val="16"/>
                <w:szCs w:val="16"/>
              </w:rPr>
              <w:t xml:space="preserve">Entropy </w:t>
            </w:r>
            <w:r w:rsidRPr="000C76FE">
              <w:rPr>
                <w:rFonts w:ascii="Times New Roman" w:hAnsi="Times New Roman" w:cs="Times New Roman"/>
                <w:sz w:val="16"/>
                <w:szCs w:val="16"/>
              </w:rPr>
              <w:t>201</w:t>
            </w:r>
            <w:r>
              <w:rPr>
                <w:rFonts w:ascii="Times New Roman" w:hAnsi="Times New Roman" w:cs="Times New Roman"/>
                <w:sz w:val="16"/>
                <w:szCs w:val="16"/>
              </w:rPr>
              <w:t>8</w:t>
            </w:r>
          </w:p>
        </w:tc>
        <w:tc>
          <w:tcPr>
            <w:tcW w:w="768" w:type="pct"/>
            <w:vAlign w:val="bottom"/>
          </w:tcPr>
          <w:p w14:paraId="57E7297B" w14:textId="77777777" w:rsidR="007A3B46" w:rsidRPr="00292561"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1,156</w:t>
            </w:r>
            <w:r>
              <w:rPr>
                <w:rFonts w:ascii="Times New Roman" w:hAnsi="Times New Roman" w:cs="Times New Roman"/>
                <w:sz w:val="16"/>
                <w:szCs w:val="16"/>
              </w:rPr>
              <w:t xml:space="preserve"> </w:t>
            </w:r>
            <w:r w:rsidRPr="00292561">
              <w:rPr>
                <w:rFonts w:ascii="Times New Roman" w:hAnsi="Times New Roman" w:cs="Times New Roman"/>
                <w:sz w:val="16"/>
                <w:szCs w:val="16"/>
              </w:rPr>
              <w:t>(0,25)</w:t>
            </w:r>
          </w:p>
        </w:tc>
      </w:tr>
      <w:tr w:rsidR="007A3B46" w:rsidRPr="000C76FE" w14:paraId="1438245B" w14:textId="77777777" w:rsidTr="00CD7CF1">
        <w:trPr>
          <w:trHeight w:val="20"/>
        </w:trPr>
        <w:tc>
          <w:tcPr>
            <w:tcW w:w="1578" w:type="pct"/>
            <w:shd w:val="clear" w:color="auto" w:fill="auto"/>
            <w:hideMark/>
          </w:tcPr>
          <w:p w14:paraId="618D2159" w14:textId="77777777" w:rsidR="007A3B46" w:rsidRPr="000C76FE" w:rsidRDefault="007A3B46" w:rsidP="00CD7CF1">
            <w:pPr>
              <w:spacing w:after="0" w:line="276" w:lineRule="auto"/>
              <w:rPr>
                <w:rFonts w:ascii="Times New Roman" w:hAnsi="Times New Roman" w:cs="Times New Roman"/>
                <w:sz w:val="16"/>
                <w:szCs w:val="16"/>
              </w:rPr>
            </w:pPr>
            <w:r>
              <w:rPr>
                <w:rFonts w:ascii="Times New Roman" w:hAnsi="Times New Roman" w:cs="Times New Roman"/>
                <w:sz w:val="16"/>
                <w:szCs w:val="16"/>
              </w:rPr>
              <w:t xml:space="preserve">Commercial income share </w:t>
            </w:r>
            <w:r w:rsidRPr="000C76FE">
              <w:rPr>
                <w:rFonts w:ascii="Times New Roman" w:hAnsi="Times New Roman" w:cs="Times New Roman"/>
                <w:sz w:val="16"/>
                <w:szCs w:val="16"/>
              </w:rPr>
              <w:t>2008</w:t>
            </w:r>
          </w:p>
        </w:tc>
        <w:tc>
          <w:tcPr>
            <w:tcW w:w="684" w:type="pct"/>
            <w:shd w:val="clear" w:color="auto" w:fill="auto"/>
            <w:noWrap/>
            <w:vAlign w:val="bottom"/>
            <w:hideMark/>
          </w:tcPr>
          <w:p w14:paraId="7E452FB7" w14:textId="77777777" w:rsidR="007A3B46" w:rsidRPr="000C76FE"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-0,828</w:t>
            </w:r>
            <w:r>
              <w:rPr>
                <w:rFonts w:ascii="Times New Roman" w:hAnsi="Times New Roman" w:cs="Times New Roman"/>
                <w:sz w:val="16"/>
                <w:szCs w:val="16"/>
              </w:rPr>
              <w:t xml:space="preserve"> </w:t>
            </w:r>
            <w:r w:rsidRPr="00292561">
              <w:rPr>
                <w:rFonts w:ascii="Times New Roman" w:hAnsi="Times New Roman" w:cs="Times New Roman"/>
                <w:sz w:val="16"/>
                <w:szCs w:val="16"/>
              </w:rPr>
              <w:t>(0,409)</w:t>
            </w:r>
          </w:p>
        </w:tc>
        <w:tc>
          <w:tcPr>
            <w:tcW w:w="1970" w:type="pct"/>
          </w:tcPr>
          <w:p w14:paraId="3F447E42" w14:textId="77777777" w:rsidR="007A3B46" w:rsidRPr="00292561" w:rsidRDefault="007A3B46" w:rsidP="00CD7CF1">
            <w:pPr>
              <w:spacing w:after="0" w:line="276" w:lineRule="auto"/>
              <w:rPr>
                <w:rFonts w:ascii="Times New Roman" w:hAnsi="Times New Roman" w:cs="Times New Roman"/>
                <w:sz w:val="16"/>
                <w:szCs w:val="16"/>
              </w:rPr>
            </w:pPr>
            <w:r>
              <w:rPr>
                <w:rFonts w:ascii="Times New Roman" w:hAnsi="Times New Roman" w:cs="Times New Roman"/>
                <w:sz w:val="16"/>
                <w:szCs w:val="16"/>
              </w:rPr>
              <w:t>C</w:t>
            </w:r>
            <w:r w:rsidRPr="0077328A">
              <w:rPr>
                <w:rFonts w:ascii="Times New Roman" w:hAnsi="Times New Roman" w:cs="Times New Roman"/>
                <w:sz w:val="16"/>
                <w:szCs w:val="16"/>
              </w:rPr>
              <w:t>oncentration ratio</w:t>
            </w:r>
            <w:r w:rsidRPr="000C76FE">
              <w:rPr>
                <w:rFonts w:ascii="Times New Roman" w:hAnsi="Times New Roman" w:cs="Times New Roman"/>
                <w:sz w:val="16"/>
                <w:szCs w:val="16"/>
              </w:rPr>
              <w:t xml:space="preserve"> C2</w:t>
            </w:r>
            <w:r>
              <w:rPr>
                <w:rFonts w:ascii="Times New Roman" w:hAnsi="Times New Roman" w:cs="Times New Roman"/>
                <w:sz w:val="16"/>
                <w:szCs w:val="16"/>
              </w:rPr>
              <w:t xml:space="preserve"> 2</w:t>
            </w:r>
            <w:r w:rsidRPr="000C76FE">
              <w:rPr>
                <w:rFonts w:ascii="Times New Roman" w:hAnsi="Times New Roman" w:cs="Times New Roman"/>
                <w:sz w:val="16"/>
                <w:szCs w:val="16"/>
              </w:rPr>
              <w:t>008</w:t>
            </w:r>
          </w:p>
        </w:tc>
        <w:tc>
          <w:tcPr>
            <w:tcW w:w="768" w:type="pct"/>
            <w:vAlign w:val="bottom"/>
          </w:tcPr>
          <w:p w14:paraId="41AC90B4" w14:textId="77777777" w:rsidR="007A3B46" w:rsidRPr="00292561"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0,828</w:t>
            </w:r>
            <w:r>
              <w:rPr>
                <w:rFonts w:ascii="Times New Roman" w:hAnsi="Times New Roman" w:cs="Times New Roman"/>
                <w:sz w:val="16"/>
                <w:szCs w:val="16"/>
              </w:rPr>
              <w:t xml:space="preserve"> </w:t>
            </w:r>
            <w:r w:rsidRPr="00292561">
              <w:rPr>
                <w:rFonts w:ascii="Times New Roman" w:hAnsi="Times New Roman" w:cs="Times New Roman"/>
                <w:sz w:val="16"/>
                <w:szCs w:val="16"/>
              </w:rPr>
              <w:t>(0,409)</w:t>
            </w:r>
          </w:p>
        </w:tc>
      </w:tr>
      <w:tr w:rsidR="007A3B46" w:rsidRPr="000C76FE" w14:paraId="7A4BD238" w14:textId="77777777" w:rsidTr="00CD7CF1">
        <w:trPr>
          <w:trHeight w:val="20"/>
        </w:trPr>
        <w:tc>
          <w:tcPr>
            <w:tcW w:w="1578" w:type="pct"/>
            <w:shd w:val="clear" w:color="auto" w:fill="auto"/>
            <w:hideMark/>
          </w:tcPr>
          <w:p w14:paraId="48D77E2A" w14:textId="77777777" w:rsidR="007A3B46" w:rsidRPr="000C76FE" w:rsidRDefault="007A3B46" w:rsidP="00CD7CF1">
            <w:pPr>
              <w:spacing w:after="0" w:line="276" w:lineRule="auto"/>
              <w:rPr>
                <w:rFonts w:ascii="Times New Roman" w:hAnsi="Times New Roman" w:cs="Times New Roman"/>
                <w:sz w:val="16"/>
                <w:szCs w:val="16"/>
              </w:rPr>
            </w:pPr>
            <w:r>
              <w:rPr>
                <w:rFonts w:ascii="Times New Roman" w:hAnsi="Times New Roman" w:cs="Times New Roman"/>
                <w:sz w:val="16"/>
                <w:szCs w:val="16"/>
              </w:rPr>
              <w:t>Commercial income share</w:t>
            </w:r>
            <w:r w:rsidRPr="000C76FE">
              <w:rPr>
                <w:rFonts w:ascii="Times New Roman" w:hAnsi="Times New Roman" w:cs="Times New Roman"/>
                <w:sz w:val="16"/>
                <w:szCs w:val="16"/>
              </w:rPr>
              <w:t xml:space="preserve"> 201</w:t>
            </w:r>
            <w:r>
              <w:rPr>
                <w:rFonts w:ascii="Times New Roman" w:hAnsi="Times New Roman" w:cs="Times New Roman"/>
                <w:sz w:val="16"/>
                <w:szCs w:val="16"/>
              </w:rPr>
              <w:t>8</w:t>
            </w:r>
          </w:p>
        </w:tc>
        <w:tc>
          <w:tcPr>
            <w:tcW w:w="684" w:type="pct"/>
            <w:shd w:val="clear" w:color="auto" w:fill="auto"/>
            <w:noWrap/>
            <w:vAlign w:val="bottom"/>
            <w:hideMark/>
          </w:tcPr>
          <w:p w14:paraId="0E0FF990" w14:textId="77777777" w:rsidR="007A3B46" w:rsidRPr="000C76FE"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-0,546</w:t>
            </w:r>
            <w:r>
              <w:rPr>
                <w:rFonts w:ascii="Times New Roman" w:hAnsi="Times New Roman" w:cs="Times New Roman"/>
                <w:sz w:val="16"/>
                <w:szCs w:val="16"/>
              </w:rPr>
              <w:t xml:space="preserve"> </w:t>
            </w:r>
            <w:r w:rsidRPr="00292561">
              <w:rPr>
                <w:rFonts w:ascii="Times New Roman" w:hAnsi="Times New Roman" w:cs="Times New Roman"/>
                <w:sz w:val="16"/>
                <w:szCs w:val="16"/>
              </w:rPr>
              <w:t>(0,586)</w:t>
            </w:r>
          </w:p>
        </w:tc>
        <w:tc>
          <w:tcPr>
            <w:tcW w:w="1970" w:type="pct"/>
          </w:tcPr>
          <w:p w14:paraId="15E5B6CC" w14:textId="77777777" w:rsidR="007A3B46" w:rsidRPr="00292561" w:rsidRDefault="007A3B46" w:rsidP="00CD7CF1">
            <w:pPr>
              <w:spacing w:after="0" w:line="276" w:lineRule="auto"/>
              <w:rPr>
                <w:rFonts w:ascii="Times New Roman" w:hAnsi="Times New Roman" w:cs="Times New Roman"/>
                <w:sz w:val="16"/>
                <w:szCs w:val="16"/>
              </w:rPr>
            </w:pPr>
            <w:r>
              <w:rPr>
                <w:rFonts w:ascii="Times New Roman" w:hAnsi="Times New Roman" w:cs="Times New Roman"/>
                <w:sz w:val="16"/>
                <w:szCs w:val="16"/>
              </w:rPr>
              <w:t>C</w:t>
            </w:r>
            <w:r w:rsidRPr="0077328A">
              <w:rPr>
                <w:rFonts w:ascii="Times New Roman" w:hAnsi="Times New Roman" w:cs="Times New Roman"/>
                <w:sz w:val="16"/>
                <w:szCs w:val="16"/>
              </w:rPr>
              <w:t>oncentration ratio</w:t>
            </w:r>
            <w:r w:rsidRPr="000C76FE">
              <w:rPr>
                <w:rFonts w:ascii="Times New Roman" w:hAnsi="Times New Roman" w:cs="Times New Roman"/>
                <w:sz w:val="16"/>
                <w:szCs w:val="16"/>
              </w:rPr>
              <w:t xml:space="preserve"> C2</w:t>
            </w:r>
            <w:r>
              <w:rPr>
                <w:rFonts w:ascii="Times New Roman" w:hAnsi="Times New Roman" w:cs="Times New Roman"/>
                <w:sz w:val="16"/>
                <w:szCs w:val="16"/>
              </w:rPr>
              <w:t xml:space="preserve"> 2</w:t>
            </w:r>
            <w:r w:rsidRPr="000C76FE">
              <w:rPr>
                <w:rFonts w:ascii="Times New Roman" w:hAnsi="Times New Roman" w:cs="Times New Roman"/>
                <w:sz w:val="16"/>
                <w:szCs w:val="16"/>
              </w:rPr>
              <w:t>01</w:t>
            </w:r>
            <w:r>
              <w:rPr>
                <w:rFonts w:ascii="Times New Roman" w:hAnsi="Times New Roman" w:cs="Times New Roman"/>
                <w:sz w:val="16"/>
                <w:szCs w:val="16"/>
              </w:rPr>
              <w:t>8</w:t>
            </w:r>
          </w:p>
        </w:tc>
        <w:tc>
          <w:tcPr>
            <w:tcW w:w="768" w:type="pct"/>
            <w:vAlign w:val="bottom"/>
          </w:tcPr>
          <w:p w14:paraId="28A26D67" w14:textId="77777777" w:rsidR="007A3B46" w:rsidRPr="00292561"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0,868</w:t>
            </w:r>
            <w:r>
              <w:rPr>
                <w:rFonts w:ascii="Times New Roman" w:hAnsi="Times New Roman" w:cs="Times New Roman"/>
                <w:sz w:val="16"/>
                <w:szCs w:val="16"/>
              </w:rPr>
              <w:t xml:space="preserve"> </w:t>
            </w:r>
            <w:r w:rsidRPr="00292561">
              <w:rPr>
                <w:rFonts w:ascii="Times New Roman" w:hAnsi="Times New Roman" w:cs="Times New Roman"/>
                <w:sz w:val="16"/>
                <w:szCs w:val="16"/>
              </w:rPr>
              <w:t>(0,387)</w:t>
            </w:r>
          </w:p>
        </w:tc>
      </w:tr>
      <w:tr w:rsidR="007A3B46" w:rsidRPr="000C76FE" w14:paraId="5524F620" w14:textId="77777777" w:rsidTr="00CD7CF1">
        <w:trPr>
          <w:trHeight w:val="20"/>
        </w:trPr>
        <w:tc>
          <w:tcPr>
            <w:tcW w:w="1578" w:type="pct"/>
            <w:shd w:val="clear" w:color="auto" w:fill="auto"/>
            <w:hideMark/>
          </w:tcPr>
          <w:p w14:paraId="49CCAB53" w14:textId="77777777" w:rsidR="007A3B46" w:rsidRPr="000C76FE" w:rsidRDefault="007A3B46" w:rsidP="00CD7CF1">
            <w:pPr>
              <w:spacing w:after="0" w:line="276" w:lineRule="auto"/>
              <w:rPr>
                <w:rFonts w:ascii="Times New Roman" w:hAnsi="Times New Roman" w:cs="Times New Roman"/>
                <w:sz w:val="16"/>
                <w:szCs w:val="16"/>
              </w:rPr>
            </w:pPr>
            <w:r>
              <w:rPr>
                <w:rFonts w:ascii="Times New Roman" w:hAnsi="Times New Roman" w:cs="Times New Roman"/>
                <w:sz w:val="16"/>
                <w:szCs w:val="16"/>
              </w:rPr>
              <w:t>Income from investments share</w:t>
            </w:r>
            <w:r w:rsidRPr="000C76FE">
              <w:rPr>
                <w:rFonts w:ascii="Times New Roman" w:hAnsi="Times New Roman" w:cs="Times New Roman"/>
                <w:sz w:val="16"/>
                <w:szCs w:val="16"/>
              </w:rPr>
              <w:t xml:space="preserve"> 2008</w:t>
            </w:r>
          </w:p>
        </w:tc>
        <w:tc>
          <w:tcPr>
            <w:tcW w:w="684" w:type="pct"/>
            <w:shd w:val="clear" w:color="auto" w:fill="auto"/>
            <w:noWrap/>
            <w:vAlign w:val="bottom"/>
            <w:hideMark/>
          </w:tcPr>
          <w:p w14:paraId="4BD56818" w14:textId="77777777" w:rsidR="007A3B46" w:rsidRPr="000C76FE"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0,549</w:t>
            </w:r>
            <w:r>
              <w:rPr>
                <w:rFonts w:ascii="Times New Roman" w:hAnsi="Times New Roman" w:cs="Times New Roman"/>
                <w:sz w:val="16"/>
                <w:szCs w:val="16"/>
              </w:rPr>
              <w:t xml:space="preserve"> </w:t>
            </w:r>
            <w:r w:rsidRPr="00292561">
              <w:rPr>
                <w:rFonts w:ascii="Times New Roman" w:hAnsi="Times New Roman" w:cs="Times New Roman"/>
                <w:sz w:val="16"/>
                <w:szCs w:val="16"/>
              </w:rPr>
              <w:t>(0,584)</w:t>
            </w:r>
          </w:p>
        </w:tc>
        <w:tc>
          <w:tcPr>
            <w:tcW w:w="1970" w:type="pct"/>
          </w:tcPr>
          <w:p w14:paraId="55072B7F" w14:textId="77777777" w:rsidR="007A3B46" w:rsidRPr="00292561" w:rsidRDefault="007A3B46" w:rsidP="00CD7CF1">
            <w:pPr>
              <w:spacing w:after="0" w:line="276" w:lineRule="auto"/>
              <w:rPr>
                <w:rFonts w:ascii="Times New Roman" w:hAnsi="Times New Roman" w:cs="Times New Roman"/>
                <w:sz w:val="16"/>
                <w:szCs w:val="16"/>
              </w:rPr>
            </w:pPr>
            <w:r>
              <w:rPr>
                <w:rFonts w:ascii="Times New Roman" w:hAnsi="Times New Roman" w:cs="Times New Roman"/>
                <w:sz w:val="16"/>
                <w:szCs w:val="16"/>
              </w:rPr>
              <w:t>V</w:t>
            </w:r>
            <w:r w:rsidRPr="0077328A">
              <w:rPr>
                <w:rFonts w:ascii="Times New Roman" w:hAnsi="Times New Roman" w:cs="Times New Roman"/>
                <w:sz w:val="16"/>
                <w:szCs w:val="16"/>
              </w:rPr>
              <w:t>olatility income sources</w:t>
            </w:r>
            <w:r w:rsidRPr="000C76FE">
              <w:rPr>
                <w:rFonts w:ascii="Times New Roman" w:hAnsi="Times New Roman" w:cs="Times New Roman"/>
                <w:sz w:val="16"/>
                <w:szCs w:val="16"/>
              </w:rPr>
              <w:t xml:space="preserve"> 200</w:t>
            </w:r>
            <w:r>
              <w:rPr>
                <w:rFonts w:ascii="Times New Roman" w:hAnsi="Times New Roman" w:cs="Times New Roman"/>
                <w:sz w:val="16"/>
                <w:szCs w:val="16"/>
              </w:rPr>
              <w:t>8</w:t>
            </w:r>
          </w:p>
        </w:tc>
        <w:tc>
          <w:tcPr>
            <w:tcW w:w="768" w:type="pct"/>
            <w:vAlign w:val="bottom"/>
          </w:tcPr>
          <w:p w14:paraId="0F1C8B9E" w14:textId="77777777" w:rsidR="007A3B46" w:rsidRPr="00292561"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0,961</w:t>
            </w:r>
            <w:r>
              <w:rPr>
                <w:rFonts w:ascii="Times New Roman" w:hAnsi="Times New Roman" w:cs="Times New Roman"/>
                <w:sz w:val="16"/>
                <w:szCs w:val="16"/>
              </w:rPr>
              <w:t xml:space="preserve"> </w:t>
            </w:r>
            <w:r w:rsidRPr="00292561">
              <w:rPr>
                <w:rFonts w:ascii="Times New Roman" w:hAnsi="Times New Roman" w:cs="Times New Roman"/>
                <w:sz w:val="16"/>
                <w:szCs w:val="16"/>
              </w:rPr>
              <w:t>(0,338)</w:t>
            </w:r>
          </w:p>
        </w:tc>
      </w:tr>
      <w:tr w:rsidR="007A3B46" w:rsidRPr="000C76FE" w14:paraId="4DCB5698" w14:textId="77777777" w:rsidTr="00CD7CF1">
        <w:trPr>
          <w:trHeight w:val="20"/>
        </w:trPr>
        <w:tc>
          <w:tcPr>
            <w:tcW w:w="1578" w:type="pct"/>
            <w:tcBorders>
              <w:bottom w:val="single" w:sz="4" w:space="0" w:color="000000" w:themeColor="text1"/>
            </w:tcBorders>
            <w:shd w:val="clear" w:color="auto" w:fill="auto"/>
            <w:hideMark/>
          </w:tcPr>
          <w:p w14:paraId="06031FA4" w14:textId="77777777" w:rsidR="007A3B46" w:rsidRPr="000C76FE" w:rsidRDefault="007A3B46" w:rsidP="00CD7CF1">
            <w:pPr>
              <w:spacing w:after="0" w:line="276" w:lineRule="auto"/>
              <w:rPr>
                <w:rFonts w:ascii="Times New Roman" w:hAnsi="Times New Roman" w:cs="Times New Roman"/>
                <w:sz w:val="16"/>
                <w:szCs w:val="16"/>
              </w:rPr>
            </w:pPr>
            <w:r>
              <w:rPr>
                <w:rFonts w:ascii="Times New Roman" w:hAnsi="Times New Roman" w:cs="Times New Roman"/>
                <w:sz w:val="16"/>
                <w:szCs w:val="16"/>
              </w:rPr>
              <w:t>Income from investments</w:t>
            </w:r>
            <w:r w:rsidRPr="000C76FE">
              <w:rPr>
                <w:rFonts w:ascii="Times New Roman" w:hAnsi="Times New Roman" w:cs="Times New Roman"/>
                <w:sz w:val="16"/>
                <w:szCs w:val="16"/>
              </w:rPr>
              <w:t xml:space="preserve"> </w:t>
            </w:r>
            <w:r>
              <w:rPr>
                <w:rFonts w:ascii="Times New Roman" w:hAnsi="Times New Roman" w:cs="Times New Roman"/>
                <w:sz w:val="16"/>
                <w:szCs w:val="16"/>
              </w:rPr>
              <w:t>share</w:t>
            </w:r>
            <w:r w:rsidRPr="000C76FE">
              <w:rPr>
                <w:rFonts w:ascii="Times New Roman" w:hAnsi="Times New Roman" w:cs="Times New Roman"/>
                <w:sz w:val="16"/>
                <w:szCs w:val="16"/>
              </w:rPr>
              <w:t xml:space="preserve"> 201</w:t>
            </w:r>
            <w:r>
              <w:rPr>
                <w:rFonts w:ascii="Times New Roman" w:hAnsi="Times New Roman" w:cs="Times New Roman"/>
                <w:sz w:val="16"/>
                <w:szCs w:val="16"/>
              </w:rPr>
              <w:t>8</w:t>
            </w:r>
          </w:p>
        </w:tc>
        <w:tc>
          <w:tcPr>
            <w:tcW w:w="684" w:type="pct"/>
            <w:tcBorders>
              <w:bottom w:val="single" w:sz="4" w:space="0" w:color="000000" w:themeColor="text1"/>
            </w:tcBorders>
            <w:shd w:val="clear" w:color="auto" w:fill="auto"/>
            <w:noWrap/>
            <w:vAlign w:val="bottom"/>
            <w:hideMark/>
          </w:tcPr>
          <w:p w14:paraId="40E18D47" w14:textId="77777777" w:rsidR="007A3B46" w:rsidRPr="000C76FE"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-0,599</w:t>
            </w:r>
            <w:r>
              <w:rPr>
                <w:rFonts w:ascii="Times New Roman" w:hAnsi="Times New Roman" w:cs="Times New Roman"/>
                <w:sz w:val="16"/>
                <w:szCs w:val="16"/>
              </w:rPr>
              <w:t xml:space="preserve"> </w:t>
            </w:r>
            <w:r w:rsidRPr="00292561">
              <w:rPr>
                <w:rFonts w:ascii="Times New Roman" w:hAnsi="Times New Roman" w:cs="Times New Roman"/>
                <w:sz w:val="16"/>
                <w:szCs w:val="16"/>
              </w:rPr>
              <w:t>(0,55)</w:t>
            </w:r>
          </w:p>
        </w:tc>
        <w:tc>
          <w:tcPr>
            <w:tcW w:w="1970" w:type="pct"/>
            <w:tcBorders>
              <w:bottom w:val="single" w:sz="4" w:space="0" w:color="000000" w:themeColor="text1"/>
            </w:tcBorders>
          </w:tcPr>
          <w:p w14:paraId="27F5A733" w14:textId="77777777" w:rsidR="007A3B46" w:rsidRPr="00292561" w:rsidRDefault="007A3B46" w:rsidP="00CD7CF1">
            <w:pPr>
              <w:spacing w:after="0" w:line="276" w:lineRule="auto"/>
              <w:rPr>
                <w:rFonts w:ascii="Times New Roman" w:hAnsi="Times New Roman" w:cs="Times New Roman"/>
                <w:sz w:val="16"/>
                <w:szCs w:val="16"/>
              </w:rPr>
            </w:pPr>
            <w:r>
              <w:rPr>
                <w:rFonts w:ascii="Times New Roman" w:hAnsi="Times New Roman" w:cs="Times New Roman"/>
                <w:sz w:val="16"/>
                <w:szCs w:val="16"/>
              </w:rPr>
              <w:t>V</w:t>
            </w:r>
            <w:r w:rsidRPr="0077328A">
              <w:rPr>
                <w:rFonts w:ascii="Times New Roman" w:hAnsi="Times New Roman" w:cs="Times New Roman"/>
                <w:sz w:val="16"/>
                <w:szCs w:val="16"/>
              </w:rPr>
              <w:t>olatility income sources</w:t>
            </w:r>
            <w:r w:rsidRPr="000C76FE">
              <w:rPr>
                <w:rFonts w:ascii="Times New Roman" w:hAnsi="Times New Roman" w:cs="Times New Roman"/>
                <w:sz w:val="16"/>
                <w:szCs w:val="16"/>
              </w:rPr>
              <w:t xml:space="preserve"> 201</w:t>
            </w:r>
            <w:r>
              <w:rPr>
                <w:rFonts w:ascii="Times New Roman" w:hAnsi="Times New Roman" w:cs="Times New Roman"/>
                <w:sz w:val="16"/>
                <w:szCs w:val="16"/>
              </w:rPr>
              <w:t>8</w:t>
            </w:r>
          </w:p>
        </w:tc>
        <w:tc>
          <w:tcPr>
            <w:tcW w:w="768" w:type="pct"/>
            <w:tcBorders>
              <w:bottom w:val="single" w:sz="4" w:space="0" w:color="000000" w:themeColor="text1"/>
            </w:tcBorders>
            <w:vAlign w:val="bottom"/>
          </w:tcPr>
          <w:p w14:paraId="161C112B" w14:textId="77777777" w:rsidR="007A3B46" w:rsidRPr="00292561" w:rsidRDefault="007A3B46" w:rsidP="00CD7CF1">
            <w:pPr>
              <w:spacing w:after="0" w:line="276" w:lineRule="auto"/>
              <w:rPr>
                <w:rFonts w:ascii="Times New Roman" w:hAnsi="Times New Roman" w:cs="Times New Roman"/>
                <w:sz w:val="16"/>
                <w:szCs w:val="16"/>
              </w:rPr>
            </w:pPr>
            <w:r w:rsidRPr="00292561">
              <w:rPr>
                <w:rFonts w:ascii="Times New Roman" w:hAnsi="Times New Roman" w:cs="Times New Roman"/>
                <w:sz w:val="16"/>
                <w:szCs w:val="16"/>
              </w:rPr>
              <w:t>-0,291</w:t>
            </w:r>
            <w:r>
              <w:rPr>
                <w:rFonts w:ascii="Times New Roman" w:hAnsi="Times New Roman" w:cs="Times New Roman"/>
                <w:sz w:val="16"/>
                <w:szCs w:val="16"/>
              </w:rPr>
              <w:t xml:space="preserve"> </w:t>
            </w:r>
            <w:r w:rsidRPr="00292561">
              <w:rPr>
                <w:rFonts w:ascii="Times New Roman" w:hAnsi="Times New Roman" w:cs="Times New Roman"/>
                <w:sz w:val="16"/>
                <w:szCs w:val="16"/>
              </w:rPr>
              <w:t>(0,771)</w:t>
            </w:r>
          </w:p>
        </w:tc>
      </w:tr>
    </w:tbl>
    <w:p w14:paraId="0CC5D2FF" w14:textId="77777777" w:rsidR="007A3B46" w:rsidRDefault="007A3B46" w:rsidP="007A3B46">
      <w:pPr>
        <w:rPr>
          <w:rFonts w:ascii="Times New Roman" w:hAnsi="Times New Roman" w:cs="Times New Roman"/>
          <w:highlight w:val="yellow"/>
          <w:lang w:val="en-GB"/>
        </w:rPr>
      </w:pPr>
    </w:p>
    <w:p w14:paraId="1C3C48F2" w14:textId="77777777" w:rsidR="007A3B46" w:rsidRPr="00182B4E" w:rsidRDefault="007A3B46" w:rsidP="007A3B46">
      <w:pPr>
        <w:jc w:val="both"/>
        <w:rPr>
          <w:rFonts w:ascii="Times New Roman" w:hAnsi="Times New Roman" w:cs="Times New Roman"/>
          <w:i/>
          <w:sz w:val="24"/>
          <w:lang w:val="en-GB"/>
        </w:rPr>
      </w:pPr>
      <w:r w:rsidRPr="00182B4E">
        <w:rPr>
          <w:rFonts w:ascii="Times New Roman" w:hAnsi="Times New Roman" w:cs="Times New Roman"/>
          <w:i/>
          <w:sz w:val="24"/>
          <w:lang w:val="en-GB"/>
        </w:rPr>
        <w:t>We observe that there are no significant differences between those companies that participated in the questionnaire and the companies that do not (</w:t>
      </w:r>
      <w:proofErr w:type="spellStart"/>
      <w:r w:rsidRPr="00182B4E">
        <w:rPr>
          <w:rFonts w:ascii="Times New Roman" w:hAnsi="Times New Roman" w:cs="Times New Roman"/>
          <w:i/>
          <w:sz w:val="24"/>
          <w:lang w:val="en-GB"/>
        </w:rPr>
        <w:t>pvalue</w:t>
      </w:r>
      <w:proofErr w:type="spellEnd"/>
      <w:r w:rsidRPr="00182B4E">
        <w:rPr>
          <w:rFonts w:ascii="Times New Roman" w:hAnsi="Times New Roman" w:cs="Times New Roman"/>
          <w:i/>
          <w:sz w:val="24"/>
          <w:lang w:val="en-GB"/>
        </w:rPr>
        <w:t xml:space="preserve">&gt;0.100). </w:t>
      </w:r>
      <w:proofErr w:type="gramStart"/>
      <w:r w:rsidRPr="00182B4E">
        <w:rPr>
          <w:rFonts w:ascii="Times New Roman" w:hAnsi="Times New Roman" w:cs="Times New Roman"/>
          <w:i/>
          <w:sz w:val="24"/>
          <w:lang w:val="en-GB"/>
        </w:rPr>
        <w:t>This results</w:t>
      </w:r>
      <w:proofErr w:type="gramEnd"/>
      <w:r w:rsidRPr="00182B4E">
        <w:rPr>
          <w:rFonts w:ascii="Times New Roman" w:hAnsi="Times New Roman" w:cs="Times New Roman"/>
          <w:i/>
          <w:sz w:val="24"/>
          <w:lang w:val="en-GB"/>
        </w:rPr>
        <w:t xml:space="preserve"> would be a second sign about the scarce significant of this bias in the studied sample.</w:t>
      </w:r>
    </w:p>
    <w:p w14:paraId="4FC72A41" w14:textId="77777777" w:rsidR="007A3B46" w:rsidRPr="00182B4E" w:rsidRDefault="007A3B46" w:rsidP="007A3B46">
      <w:pPr>
        <w:jc w:val="both"/>
        <w:rPr>
          <w:rFonts w:ascii="Times New Roman" w:hAnsi="Times New Roman" w:cs="Times New Roman"/>
          <w:i/>
          <w:sz w:val="24"/>
          <w:lang w:val="en-GB"/>
        </w:rPr>
      </w:pPr>
      <w:r w:rsidRPr="00182B4E">
        <w:rPr>
          <w:rFonts w:ascii="Times New Roman" w:hAnsi="Times New Roman" w:cs="Times New Roman"/>
          <w:i/>
          <w:sz w:val="24"/>
          <w:lang w:val="en-GB"/>
        </w:rPr>
        <w:t>Additionally, we have tested the existence of possible differences between the sample and the population in the variables that describe the sample (activity, rural/urban, activity and initial endowment). To do so, we have proposed a Chi-squared test to identify differences between the defined categories. We obtained that there are no significant differences between the sample and the population when these characteristics are analysed (</w:t>
      </w:r>
      <w:proofErr w:type="spellStart"/>
      <w:r w:rsidRPr="00182B4E">
        <w:rPr>
          <w:rFonts w:ascii="Times New Roman" w:hAnsi="Times New Roman" w:cs="Times New Roman"/>
          <w:i/>
          <w:sz w:val="24"/>
          <w:lang w:val="en-GB"/>
        </w:rPr>
        <w:t>pvalue</w:t>
      </w:r>
      <w:proofErr w:type="spellEnd"/>
      <w:r w:rsidRPr="00182B4E">
        <w:rPr>
          <w:rFonts w:ascii="Times New Roman" w:hAnsi="Times New Roman" w:cs="Times New Roman"/>
          <w:i/>
          <w:sz w:val="24"/>
          <w:lang w:val="en-GB"/>
        </w:rPr>
        <w:t xml:space="preserve"> Chi-squared – activity: 0.224; </w:t>
      </w:r>
      <w:proofErr w:type="spellStart"/>
      <w:r w:rsidRPr="00182B4E">
        <w:rPr>
          <w:rFonts w:ascii="Times New Roman" w:hAnsi="Times New Roman" w:cs="Times New Roman"/>
          <w:i/>
          <w:sz w:val="24"/>
          <w:lang w:val="en-GB"/>
        </w:rPr>
        <w:t>pvalue</w:t>
      </w:r>
      <w:proofErr w:type="spellEnd"/>
      <w:r w:rsidRPr="00182B4E">
        <w:rPr>
          <w:rFonts w:ascii="Times New Roman" w:hAnsi="Times New Roman" w:cs="Times New Roman"/>
          <w:i/>
          <w:sz w:val="24"/>
          <w:lang w:val="en-GB"/>
        </w:rPr>
        <w:t xml:space="preserve"> Chi-squared – rural/urban: 0.157; Chi-squared – age: 0.199; </w:t>
      </w:r>
      <w:proofErr w:type="spellStart"/>
      <w:r w:rsidRPr="00182B4E">
        <w:rPr>
          <w:rFonts w:ascii="Times New Roman" w:hAnsi="Times New Roman" w:cs="Times New Roman"/>
          <w:i/>
          <w:sz w:val="24"/>
          <w:lang w:val="en-GB"/>
        </w:rPr>
        <w:t>pvalue</w:t>
      </w:r>
      <w:proofErr w:type="spellEnd"/>
      <w:r w:rsidRPr="00182B4E">
        <w:rPr>
          <w:rFonts w:ascii="Times New Roman" w:hAnsi="Times New Roman" w:cs="Times New Roman"/>
          <w:i/>
          <w:sz w:val="24"/>
          <w:lang w:val="en-GB"/>
        </w:rPr>
        <w:t xml:space="preserve"> Chi-squared – initial endowment: 0.201).</w:t>
      </w:r>
    </w:p>
    <w:p w14:paraId="26ACDE40" w14:textId="77777777" w:rsidR="007A3B46" w:rsidRPr="00B839C1" w:rsidRDefault="00B839C1" w:rsidP="00497A22">
      <w:pPr>
        <w:jc w:val="both"/>
        <w:rPr>
          <w:rFonts w:ascii="Times New Roman" w:hAnsi="Times New Roman" w:cs="Times New Roman"/>
          <w:b/>
          <w:i/>
          <w:sz w:val="24"/>
        </w:rPr>
      </w:pPr>
      <w:r w:rsidRPr="00B839C1">
        <w:rPr>
          <w:rFonts w:ascii="Times New Roman" w:hAnsi="Times New Roman" w:cs="Times New Roman"/>
          <w:b/>
          <w:i/>
          <w:sz w:val="24"/>
        </w:rPr>
        <w:t>Sample size bias</w:t>
      </w:r>
    </w:p>
    <w:p w14:paraId="50D70089" w14:textId="77777777" w:rsidR="00B839C1" w:rsidRPr="00A45B4E" w:rsidRDefault="00B839C1" w:rsidP="00B839C1">
      <w:pPr>
        <w:jc w:val="both"/>
        <w:rPr>
          <w:rFonts w:ascii="Times New Roman" w:eastAsia="Times New Roman" w:hAnsi="Times New Roman" w:cs="Times New Roman"/>
          <w:i/>
          <w:sz w:val="24"/>
          <w:szCs w:val="24"/>
          <w:lang w:val="en-GB" w:eastAsia="en-GB"/>
        </w:rPr>
      </w:pPr>
      <w:r w:rsidRPr="00A45B4E">
        <w:rPr>
          <w:rFonts w:ascii="Times New Roman" w:hAnsi="Times New Roman" w:cs="Times New Roman"/>
          <w:bCs/>
          <w:i/>
          <w:sz w:val="24"/>
          <w:szCs w:val="24"/>
          <w:lang w:val="en-GB"/>
        </w:rPr>
        <w:t xml:space="preserve">Kline (2015) expose the absence of absolute standards in the SEM literature about the relationship between sample size and model complexity. Despite this asseveration, there is a rule-of-the-thumb that a minimum size of 100 cases is always required. In this sense, Anderson &amp; </w:t>
      </w:r>
      <w:proofErr w:type="spellStart"/>
      <w:r w:rsidRPr="00A45B4E">
        <w:rPr>
          <w:rFonts w:ascii="Times New Roman" w:hAnsi="Times New Roman" w:cs="Times New Roman"/>
          <w:bCs/>
          <w:i/>
          <w:sz w:val="24"/>
          <w:szCs w:val="24"/>
          <w:lang w:val="en-GB"/>
        </w:rPr>
        <w:t>Gerbing</w:t>
      </w:r>
      <w:proofErr w:type="spellEnd"/>
      <w:r w:rsidRPr="00A45B4E">
        <w:rPr>
          <w:rFonts w:ascii="Times New Roman" w:hAnsi="Times New Roman" w:cs="Times New Roman"/>
          <w:bCs/>
          <w:i/>
          <w:sz w:val="24"/>
          <w:szCs w:val="24"/>
          <w:lang w:val="en-GB"/>
        </w:rPr>
        <w:t xml:space="preserve"> (1984, pp.170–171) conclude that for “three or more indicators per factor, a sample size of 100 will usually be sufficient for convergence,” and a sample size of 150 “will usually be sufficient for a convergent and proper solution”. Other authors increase this figure to 200 cases, although this number is considered to be “conservative and surely simplistic” (</w:t>
      </w:r>
      <w:proofErr w:type="spellStart"/>
      <w:r w:rsidRPr="00A45B4E">
        <w:rPr>
          <w:rFonts w:ascii="Times New Roman" w:eastAsia="Times New Roman" w:hAnsi="Times New Roman" w:cs="Times New Roman"/>
          <w:i/>
          <w:sz w:val="24"/>
          <w:szCs w:val="24"/>
          <w:lang w:val="en-GB" w:eastAsia="en-GB"/>
        </w:rPr>
        <w:t>Iacobucci</w:t>
      </w:r>
      <w:proofErr w:type="spellEnd"/>
      <w:r w:rsidRPr="00A45B4E">
        <w:rPr>
          <w:rFonts w:ascii="Times New Roman" w:eastAsia="Times New Roman" w:hAnsi="Times New Roman" w:cs="Times New Roman"/>
          <w:i/>
          <w:sz w:val="24"/>
          <w:szCs w:val="24"/>
          <w:lang w:val="en-GB" w:eastAsia="en-GB"/>
        </w:rPr>
        <w:t>, 2010, p.92).</w:t>
      </w:r>
    </w:p>
    <w:p w14:paraId="633C65F4" w14:textId="77777777" w:rsidR="00B839C1" w:rsidRPr="00A45B4E" w:rsidRDefault="00B839C1" w:rsidP="00B839C1">
      <w:pPr>
        <w:jc w:val="both"/>
        <w:rPr>
          <w:rFonts w:ascii="Times New Roman" w:eastAsia="Times New Roman" w:hAnsi="Times New Roman" w:cs="Times New Roman"/>
          <w:i/>
          <w:sz w:val="24"/>
          <w:szCs w:val="24"/>
          <w:lang w:val="en-GB" w:eastAsia="en-GB"/>
        </w:rPr>
      </w:pPr>
      <w:r w:rsidRPr="00A45B4E">
        <w:rPr>
          <w:rFonts w:ascii="Times New Roman" w:eastAsia="Times New Roman" w:hAnsi="Times New Roman" w:cs="Times New Roman"/>
          <w:i/>
          <w:sz w:val="24"/>
          <w:szCs w:val="24"/>
          <w:lang w:val="en-GB" w:eastAsia="en-GB"/>
        </w:rPr>
        <w:t>Consequently, the assessment of the sample size needs to take into account other indicators than can reveal the suitability of this statistical technic:</w:t>
      </w:r>
    </w:p>
    <w:p w14:paraId="1F2027D8" w14:textId="77777777" w:rsidR="00B839C1" w:rsidRPr="00A45B4E" w:rsidRDefault="00B839C1" w:rsidP="00B839C1">
      <w:pPr>
        <w:ind w:left="709"/>
        <w:jc w:val="both"/>
        <w:rPr>
          <w:rFonts w:ascii="Times New Roman" w:eastAsia="Times New Roman" w:hAnsi="Times New Roman" w:cs="Times New Roman"/>
          <w:i/>
          <w:sz w:val="24"/>
          <w:szCs w:val="24"/>
          <w:lang w:val="en-GB" w:eastAsia="en-GB"/>
        </w:rPr>
      </w:pPr>
      <w:r w:rsidRPr="00A45B4E">
        <w:rPr>
          <w:rFonts w:ascii="Times New Roman" w:eastAsia="Times New Roman" w:hAnsi="Times New Roman" w:cs="Times New Roman"/>
          <w:i/>
          <w:sz w:val="24"/>
          <w:szCs w:val="24"/>
          <w:lang w:val="en-GB" w:eastAsia="en-GB"/>
        </w:rPr>
        <w:t>a) Kline (2015, p.112) introduces the ratio subject/parameter. This author established that ratio between 10:1 and 5:1 is a realistic target to assure the convergence of the model. The proposed model is based on three dimensions, but they have been estimated separately to assure the convergence of the achieved estimations and the suitability of this ratio.</w:t>
      </w:r>
    </w:p>
    <w:p w14:paraId="2FA55A05" w14:textId="77777777" w:rsidR="00B839C1" w:rsidRPr="00A45B4E" w:rsidRDefault="00B839C1" w:rsidP="00B839C1">
      <w:pPr>
        <w:ind w:left="709"/>
        <w:jc w:val="both"/>
        <w:rPr>
          <w:rFonts w:ascii="Times New Roman" w:eastAsia="Times New Roman" w:hAnsi="Times New Roman" w:cs="Times New Roman"/>
          <w:i/>
          <w:sz w:val="24"/>
          <w:szCs w:val="24"/>
          <w:lang w:val="en-GB" w:eastAsia="en-GB"/>
        </w:rPr>
      </w:pPr>
      <w:r w:rsidRPr="00A45B4E">
        <w:rPr>
          <w:rFonts w:ascii="Times New Roman" w:eastAsia="Times New Roman" w:hAnsi="Times New Roman" w:cs="Times New Roman"/>
          <w:i/>
          <w:sz w:val="24"/>
          <w:szCs w:val="24"/>
          <w:lang w:val="en-GB" w:eastAsia="en-GB"/>
        </w:rPr>
        <w:t xml:space="preserve">b) MacCallum et al (1999) consider than “samples in the range of 100-200 are acceptable with well-determined factors”, understanding that factors will be well-determined if the communalities are in the range 0.5. In table 4, it is possible to observe that the different communalities are above this minimum value. </w:t>
      </w:r>
    </w:p>
    <w:p w14:paraId="757B2F68" w14:textId="77777777" w:rsidR="00B839C1" w:rsidRPr="008E3A30" w:rsidRDefault="00B839C1" w:rsidP="00B839C1">
      <w:pPr>
        <w:spacing w:after="0" w:line="240" w:lineRule="auto"/>
        <w:ind w:left="709"/>
        <w:jc w:val="both"/>
        <w:rPr>
          <w:rFonts w:ascii="Times New Roman" w:eastAsia="Times New Roman" w:hAnsi="Times New Roman" w:cs="Times New Roman"/>
          <w:i/>
          <w:lang w:val="en-GB" w:eastAsia="en-GB"/>
        </w:rPr>
      </w:pPr>
      <w:r w:rsidRPr="008E3A30">
        <w:rPr>
          <w:rFonts w:ascii="Times New Roman" w:eastAsia="Times New Roman" w:hAnsi="Times New Roman" w:cs="Times New Roman"/>
          <w:b/>
          <w:i/>
          <w:lang w:val="en-GB" w:eastAsia="en-GB"/>
        </w:rPr>
        <w:t>Table 4.</w:t>
      </w:r>
      <w:r w:rsidRPr="008E3A30">
        <w:rPr>
          <w:rFonts w:ascii="Times New Roman" w:eastAsia="Times New Roman" w:hAnsi="Times New Roman" w:cs="Times New Roman"/>
          <w:i/>
          <w:lang w:val="en-GB" w:eastAsia="en-GB"/>
        </w:rPr>
        <w:t xml:space="preserve"> Communalities</w:t>
      </w:r>
    </w:p>
    <w:tbl>
      <w:tblPr>
        <w:tblStyle w:val="Tablaconcuadrcula"/>
        <w:tblW w:w="4605"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29"/>
        <w:gridCol w:w="2426"/>
      </w:tblGrid>
      <w:tr w:rsidR="00B839C1" w:rsidRPr="006A6C88" w14:paraId="59D6EAA2" w14:textId="77777777" w:rsidTr="00CD7CF1">
        <w:tc>
          <w:tcPr>
            <w:tcW w:w="1900" w:type="pct"/>
            <w:tcBorders>
              <w:top w:val="single" w:sz="4" w:space="0" w:color="auto"/>
              <w:bottom w:val="single" w:sz="4" w:space="0" w:color="auto"/>
            </w:tcBorders>
          </w:tcPr>
          <w:p w14:paraId="11D68E76" w14:textId="77777777" w:rsidR="00B839C1" w:rsidRPr="006A6C88" w:rsidRDefault="00B839C1" w:rsidP="00CD7CF1">
            <w:pPr>
              <w:jc w:val="center"/>
              <w:rPr>
                <w:rFonts w:ascii="Times New Roman" w:eastAsia="Times New Roman" w:hAnsi="Times New Roman" w:cs="Times New Roman"/>
                <w:b/>
                <w:sz w:val="16"/>
                <w:lang w:val="en-GB" w:eastAsia="en-GB"/>
              </w:rPr>
            </w:pPr>
            <w:r w:rsidRPr="006A6C88">
              <w:rPr>
                <w:rFonts w:ascii="Times New Roman" w:eastAsia="Times New Roman" w:hAnsi="Times New Roman" w:cs="Times New Roman"/>
                <w:b/>
                <w:sz w:val="16"/>
                <w:lang w:val="en-GB" w:eastAsia="en-GB"/>
              </w:rPr>
              <w:t>Dimension</w:t>
            </w:r>
          </w:p>
        </w:tc>
        <w:tc>
          <w:tcPr>
            <w:tcW w:w="1550" w:type="pct"/>
            <w:tcBorders>
              <w:top w:val="single" w:sz="4" w:space="0" w:color="auto"/>
              <w:bottom w:val="single" w:sz="4" w:space="0" w:color="auto"/>
            </w:tcBorders>
          </w:tcPr>
          <w:p w14:paraId="6F240B13" w14:textId="77777777" w:rsidR="00B839C1" w:rsidRPr="006A6C88" w:rsidRDefault="00B839C1" w:rsidP="00CD7CF1">
            <w:pPr>
              <w:jc w:val="center"/>
              <w:rPr>
                <w:rFonts w:ascii="Times New Roman" w:eastAsia="Times New Roman" w:hAnsi="Times New Roman" w:cs="Times New Roman"/>
                <w:b/>
                <w:sz w:val="16"/>
                <w:lang w:val="en-GB" w:eastAsia="en-GB"/>
              </w:rPr>
            </w:pPr>
            <w:r w:rsidRPr="006A6C88">
              <w:rPr>
                <w:rFonts w:ascii="Times New Roman" w:eastAsia="Times New Roman" w:hAnsi="Times New Roman" w:cs="Times New Roman"/>
                <w:b/>
                <w:sz w:val="16"/>
                <w:lang w:val="en-GB" w:eastAsia="en-GB"/>
              </w:rPr>
              <w:t>Communalities</w:t>
            </w:r>
          </w:p>
        </w:tc>
        <w:tc>
          <w:tcPr>
            <w:tcW w:w="1549" w:type="pct"/>
            <w:tcBorders>
              <w:top w:val="single" w:sz="4" w:space="0" w:color="auto"/>
              <w:bottom w:val="single" w:sz="4" w:space="0" w:color="auto"/>
            </w:tcBorders>
          </w:tcPr>
          <w:p w14:paraId="54C9B94F" w14:textId="77777777" w:rsidR="00B839C1" w:rsidRPr="006A6C88" w:rsidRDefault="00B839C1" w:rsidP="00CD7CF1">
            <w:pPr>
              <w:jc w:val="center"/>
              <w:rPr>
                <w:rFonts w:ascii="Times New Roman" w:eastAsia="Times New Roman" w:hAnsi="Times New Roman" w:cs="Times New Roman"/>
                <w:b/>
                <w:sz w:val="16"/>
                <w:lang w:val="en-GB" w:eastAsia="en-GB"/>
              </w:rPr>
            </w:pPr>
            <w:r w:rsidRPr="006A6C88">
              <w:rPr>
                <w:rFonts w:ascii="Times New Roman" w:eastAsia="Times New Roman" w:hAnsi="Times New Roman" w:cs="Times New Roman"/>
                <w:b/>
                <w:sz w:val="16"/>
                <w:lang w:val="en-GB" w:eastAsia="en-GB"/>
              </w:rPr>
              <w:t>Correlations</w:t>
            </w:r>
          </w:p>
        </w:tc>
      </w:tr>
      <w:tr w:rsidR="00B839C1" w:rsidRPr="006A6C88" w14:paraId="18196F75" w14:textId="77777777" w:rsidTr="00CD7CF1">
        <w:tc>
          <w:tcPr>
            <w:tcW w:w="1900" w:type="pct"/>
            <w:tcBorders>
              <w:top w:val="single" w:sz="4" w:space="0" w:color="auto"/>
            </w:tcBorders>
          </w:tcPr>
          <w:p w14:paraId="24F42803" w14:textId="77777777" w:rsidR="00B839C1" w:rsidRPr="006A6C88" w:rsidRDefault="00B839C1" w:rsidP="00CD7CF1">
            <w:pPr>
              <w:jc w:val="both"/>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t>Economic Dimension 1</w:t>
            </w:r>
          </w:p>
        </w:tc>
        <w:tc>
          <w:tcPr>
            <w:tcW w:w="1550" w:type="pct"/>
            <w:tcBorders>
              <w:top w:val="single" w:sz="4" w:space="0" w:color="auto"/>
            </w:tcBorders>
          </w:tcPr>
          <w:p w14:paraId="45AFC8CA" w14:textId="77777777" w:rsidR="00B839C1" w:rsidRPr="006A6C88" w:rsidRDefault="00B839C1" w:rsidP="00CD7CF1">
            <w:pPr>
              <w:jc w:val="center"/>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t>[0.797-0.999]</w:t>
            </w:r>
          </w:p>
        </w:tc>
        <w:tc>
          <w:tcPr>
            <w:tcW w:w="1549" w:type="pct"/>
            <w:tcBorders>
              <w:top w:val="single" w:sz="4" w:space="0" w:color="auto"/>
            </w:tcBorders>
          </w:tcPr>
          <w:p w14:paraId="03B6D516" w14:textId="77777777" w:rsidR="00B839C1" w:rsidRPr="006A6C88" w:rsidRDefault="00B839C1" w:rsidP="00CD7CF1">
            <w:pPr>
              <w:jc w:val="center"/>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t>[0.826-0.926]</w:t>
            </w:r>
          </w:p>
        </w:tc>
      </w:tr>
      <w:tr w:rsidR="00B839C1" w:rsidRPr="006A6C88" w14:paraId="3B849A77" w14:textId="77777777" w:rsidTr="00CD7CF1">
        <w:tc>
          <w:tcPr>
            <w:tcW w:w="1900" w:type="pct"/>
          </w:tcPr>
          <w:p w14:paraId="22D59367" w14:textId="77777777" w:rsidR="00B839C1" w:rsidRPr="006A6C88" w:rsidRDefault="00B839C1" w:rsidP="00CD7CF1">
            <w:pPr>
              <w:jc w:val="both"/>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lastRenderedPageBreak/>
              <w:t>Economic Dimension 3</w:t>
            </w:r>
          </w:p>
        </w:tc>
        <w:tc>
          <w:tcPr>
            <w:tcW w:w="1550" w:type="pct"/>
          </w:tcPr>
          <w:p w14:paraId="76849D39" w14:textId="77777777" w:rsidR="00B839C1" w:rsidRPr="006A6C88" w:rsidRDefault="00B839C1" w:rsidP="00CD7CF1">
            <w:pPr>
              <w:jc w:val="center"/>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t>[0.588-0.694]</w:t>
            </w:r>
          </w:p>
        </w:tc>
        <w:tc>
          <w:tcPr>
            <w:tcW w:w="1549" w:type="pct"/>
          </w:tcPr>
          <w:p w14:paraId="5890867F" w14:textId="77777777" w:rsidR="00B839C1" w:rsidRPr="006A6C88" w:rsidRDefault="00B839C1" w:rsidP="00CD7CF1">
            <w:pPr>
              <w:jc w:val="center"/>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t>[0.621-0.714]</w:t>
            </w:r>
          </w:p>
        </w:tc>
      </w:tr>
      <w:tr w:rsidR="00B839C1" w:rsidRPr="006A6C88" w14:paraId="19B13776" w14:textId="77777777" w:rsidTr="00CD7CF1">
        <w:tc>
          <w:tcPr>
            <w:tcW w:w="1900" w:type="pct"/>
          </w:tcPr>
          <w:p w14:paraId="6926A962" w14:textId="77777777" w:rsidR="00B839C1" w:rsidRPr="006A6C88" w:rsidRDefault="00B839C1" w:rsidP="00CD7CF1">
            <w:pPr>
              <w:jc w:val="both"/>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t>Social Dimension 1</w:t>
            </w:r>
          </w:p>
        </w:tc>
        <w:tc>
          <w:tcPr>
            <w:tcW w:w="1550" w:type="pct"/>
          </w:tcPr>
          <w:p w14:paraId="0B3D12DC" w14:textId="77777777" w:rsidR="00B839C1" w:rsidRPr="006A6C88" w:rsidRDefault="00B839C1" w:rsidP="00CD7CF1">
            <w:pPr>
              <w:jc w:val="center"/>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t>[0.502-0.791]</w:t>
            </w:r>
          </w:p>
        </w:tc>
        <w:tc>
          <w:tcPr>
            <w:tcW w:w="1549" w:type="pct"/>
          </w:tcPr>
          <w:p w14:paraId="410937DF" w14:textId="77777777" w:rsidR="00B839C1" w:rsidRPr="006A6C88" w:rsidRDefault="00B839C1" w:rsidP="00CD7CF1">
            <w:pPr>
              <w:jc w:val="center"/>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t>[0.463-0.788]</w:t>
            </w:r>
          </w:p>
        </w:tc>
      </w:tr>
      <w:tr w:rsidR="00B839C1" w:rsidRPr="006A6C88" w14:paraId="5C9BEC58" w14:textId="77777777" w:rsidTr="00CD7CF1">
        <w:tc>
          <w:tcPr>
            <w:tcW w:w="1900" w:type="pct"/>
          </w:tcPr>
          <w:p w14:paraId="3EA96E5A" w14:textId="77777777" w:rsidR="00B839C1" w:rsidRPr="006A6C88" w:rsidRDefault="00B839C1" w:rsidP="00CD7CF1">
            <w:pPr>
              <w:jc w:val="both"/>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t>Social Dimension 3</w:t>
            </w:r>
          </w:p>
        </w:tc>
        <w:tc>
          <w:tcPr>
            <w:tcW w:w="1550" w:type="pct"/>
          </w:tcPr>
          <w:p w14:paraId="04FB4D4A" w14:textId="77777777" w:rsidR="00B839C1" w:rsidRPr="006A6C88" w:rsidRDefault="00B839C1" w:rsidP="00CD7CF1">
            <w:pPr>
              <w:jc w:val="center"/>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t>[0.500-0.959]</w:t>
            </w:r>
          </w:p>
        </w:tc>
        <w:tc>
          <w:tcPr>
            <w:tcW w:w="1549" w:type="pct"/>
          </w:tcPr>
          <w:p w14:paraId="37D0B426" w14:textId="77777777" w:rsidR="00B839C1" w:rsidRPr="006A6C88" w:rsidRDefault="00B839C1" w:rsidP="00CD7CF1">
            <w:pPr>
              <w:jc w:val="center"/>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t>[0.498-0.823]</w:t>
            </w:r>
          </w:p>
        </w:tc>
      </w:tr>
      <w:tr w:rsidR="00B839C1" w:rsidRPr="006A6C88" w14:paraId="1489532C" w14:textId="77777777" w:rsidTr="00CD7CF1">
        <w:tc>
          <w:tcPr>
            <w:tcW w:w="1900" w:type="pct"/>
            <w:tcBorders>
              <w:bottom w:val="single" w:sz="4" w:space="0" w:color="auto"/>
            </w:tcBorders>
          </w:tcPr>
          <w:p w14:paraId="64C6E44D" w14:textId="77777777" w:rsidR="00B839C1" w:rsidRPr="006A6C88" w:rsidRDefault="00B839C1" w:rsidP="00CD7CF1">
            <w:pPr>
              <w:jc w:val="both"/>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t>Governance dimension 1</w:t>
            </w:r>
          </w:p>
        </w:tc>
        <w:tc>
          <w:tcPr>
            <w:tcW w:w="1550" w:type="pct"/>
            <w:tcBorders>
              <w:bottom w:val="single" w:sz="4" w:space="0" w:color="auto"/>
            </w:tcBorders>
          </w:tcPr>
          <w:p w14:paraId="3D31533C" w14:textId="77777777" w:rsidR="00B839C1" w:rsidRPr="006A6C88" w:rsidRDefault="00B839C1" w:rsidP="00CD7CF1">
            <w:pPr>
              <w:jc w:val="center"/>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t>[0.519-0.614]</w:t>
            </w:r>
          </w:p>
        </w:tc>
        <w:tc>
          <w:tcPr>
            <w:tcW w:w="1549" w:type="pct"/>
            <w:tcBorders>
              <w:bottom w:val="single" w:sz="4" w:space="0" w:color="auto"/>
            </w:tcBorders>
          </w:tcPr>
          <w:p w14:paraId="285308E7" w14:textId="77777777" w:rsidR="00B839C1" w:rsidRPr="006A6C88" w:rsidRDefault="00B839C1" w:rsidP="00CD7CF1">
            <w:pPr>
              <w:jc w:val="center"/>
              <w:rPr>
                <w:rFonts w:ascii="Times New Roman" w:eastAsia="Times New Roman" w:hAnsi="Times New Roman" w:cs="Times New Roman"/>
                <w:sz w:val="16"/>
                <w:lang w:val="en-GB" w:eastAsia="en-GB"/>
              </w:rPr>
            </w:pPr>
            <w:r w:rsidRPr="006A6C88">
              <w:rPr>
                <w:rFonts w:ascii="Times New Roman" w:eastAsia="Times New Roman" w:hAnsi="Times New Roman" w:cs="Times New Roman"/>
                <w:sz w:val="16"/>
                <w:lang w:val="en-GB" w:eastAsia="en-GB"/>
              </w:rPr>
              <w:t>[0.512-0.627]</w:t>
            </w:r>
          </w:p>
        </w:tc>
      </w:tr>
    </w:tbl>
    <w:p w14:paraId="73487CDF" w14:textId="77777777" w:rsidR="00B839C1" w:rsidRDefault="00B839C1" w:rsidP="00B839C1">
      <w:pPr>
        <w:jc w:val="both"/>
        <w:rPr>
          <w:rFonts w:ascii="Times New Roman" w:eastAsia="Times New Roman" w:hAnsi="Times New Roman" w:cs="Times New Roman"/>
          <w:lang w:val="en-GB" w:eastAsia="en-GB"/>
        </w:rPr>
      </w:pPr>
    </w:p>
    <w:p w14:paraId="3EEB7890" w14:textId="77777777" w:rsidR="00B839C1" w:rsidRPr="00A45B4E" w:rsidRDefault="00B839C1" w:rsidP="00B839C1">
      <w:pPr>
        <w:ind w:left="709"/>
        <w:jc w:val="both"/>
        <w:rPr>
          <w:rFonts w:ascii="Times New Roman" w:eastAsia="Times New Roman" w:hAnsi="Times New Roman" w:cs="Times New Roman"/>
          <w:i/>
          <w:sz w:val="24"/>
          <w:lang w:val="en-GB" w:eastAsia="en-GB"/>
        </w:rPr>
      </w:pPr>
      <w:r w:rsidRPr="00A45B4E">
        <w:rPr>
          <w:rFonts w:ascii="Times New Roman" w:eastAsia="Times New Roman" w:hAnsi="Times New Roman" w:cs="Times New Roman"/>
          <w:i/>
          <w:sz w:val="24"/>
          <w:lang w:val="en-GB" w:eastAsia="en-GB"/>
        </w:rPr>
        <w:t>Moreover, if we analyse the correlation matrices, we also observe that the different items are highly correlated with also reveals that the sample size is reasonable for the proposed measurement models.</w:t>
      </w:r>
    </w:p>
    <w:p w14:paraId="6A7D0866" w14:textId="77777777" w:rsidR="00B839C1" w:rsidRPr="00A45B4E" w:rsidRDefault="00B839C1" w:rsidP="00B839C1">
      <w:pPr>
        <w:ind w:left="709"/>
        <w:jc w:val="both"/>
        <w:rPr>
          <w:rFonts w:ascii="Times New Roman" w:eastAsia="Times New Roman" w:hAnsi="Times New Roman" w:cs="Times New Roman"/>
          <w:i/>
          <w:sz w:val="24"/>
          <w:lang w:val="en-GB" w:eastAsia="en-GB"/>
        </w:rPr>
      </w:pPr>
      <w:r w:rsidRPr="00A45B4E">
        <w:rPr>
          <w:rFonts w:ascii="Times New Roman" w:eastAsia="Times New Roman" w:hAnsi="Times New Roman" w:cs="Times New Roman"/>
          <w:i/>
          <w:sz w:val="24"/>
          <w:lang w:val="en-GB" w:eastAsia="en-GB"/>
        </w:rPr>
        <w:t xml:space="preserve">c) Additionally, we have </w:t>
      </w:r>
      <w:proofErr w:type="spellStart"/>
      <w:r w:rsidRPr="00A45B4E">
        <w:rPr>
          <w:rFonts w:ascii="Times New Roman" w:eastAsia="Times New Roman" w:hAnsi="Times New Roman" w:cs="Times New Roman"/>
          <w:i/>
          <w:sz w:val="24"/>
          <w:lang w:val="en-GB" w:eastAsia="en-GB"/>
        </w:rPr>
        <w:t>reestimated</w:t>
      </w:r>
      <w:proofErr w:type="spellEnd"/>
      <w:r w:rsidRPr="00A45B4E">
        <w:rPr>
          <w:rFonts w:ascii="Times New Roman" w:eastAsia="Times New Roman" w:hAnsi="Times New Roman" w:cs="Times New Roman"/>
          <w:i/>
          <w:sz w:val="24"/>
          <w:lang w:val="en-GB" w:eastAsia="en-GB"/>
        </w:rPr>
        <w:t xml:space="preserve"> the proposed model selecting only 100 cases. Table 4 shows the value of the different indicators. If we compare the results in Table 5 and the results presented in Table 3, we observe that there are no significant variations in the main goodness-of-fit indices. </w:t>
      </w:r>
    </w:p>
    <w:p w14:paraId="59B813F5" w14:textId="77777777" w:rsidR="00B839C1" w:rsidRPr="008E3A30" w:rsidRDefault="00B839C1" w:rsidP="00B839C1">
      <w:pPr>
        <w:spacing w:after="0" w:line="240" w:lineRule="auto"/>
        <w:ind w:left="709"/>
        <w:jc w:val="both"/>
        <w:rPr>
          <w:rFonts w:ascii="Times New Roman" w:hAnsi="Times New Roman" w:cs="Times New Roman"/>
          <w:bCs/>
          <w:i/>
          <w:lang w:val="en-GB"/>
        </w:rPr>
      </w:pPr>
      <w:r w:rsidRPr="008E3A30">
        <w:rPr>
          <w:rFonts w:ascii="Times New Roman" w:hAnsi="Times New Roman" w:cs="Times New Roman"/>
          <w:b/>
          <w:bCs/>
          <w:i/>
          <w:lang w:val="en-GB"/>
        </w:rPr>
        <w:t xml:space="preserve">Table 5. </w:t>
      </w:r>
      <w:r w:rsidRPr="008E3A30">
        <w:rPr>
          <w:rFonts w:ascii="Times New Roman" w:hAnsi="Times New Roman" w:cs="Times New Roman"/>
          <w:i/>
        </w:rPr>
        <w:t>Global goodness-of-fit indicators for N=100</w:t>
      </w:r>
    </w:p>
    <w:tbl>
      <w:tblPr>
        <w:tblStyle w:val="Tablaconcuadrcula"/>
        <w:tblW w:w="765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984"/>
        <w:gridCol w:w="1985"/>
        <w:gridCol w:w="2124"/>
      </w:tblGrid>
      <w:tr w:rsidR="00B839C1" w:rsidRPr="006A6C88" w14:paraId="2C8073FC" w14:textId="77777777" w:rsidTr="00CD7CF1">
        <w:tc>
          <w:tcPr>
            <w:tcW w:w="1560" w:type="dxa"/>
            <w:tcBorders>
              <w:top w:val="single" w:sz="4" w:space="0" w:color="auto"/>
              <w:bottom w:val="single" w:sz="4" w:space="0" w:color="auto"/>
            </w:tcBorders>
            <w:vAlign w:val="center"/>
          </w:tcPr>
          <w:p w14:paraId="05E29538" w14:textId="77777777" w:rsidR="00B839C1" w:rsidRPr="00A45B4E" w:rsidRDefault="00B839C1" w:rsidP="00CD7CF1">
            <w:pPr>
              <w:jc w:val="center"/>
              <w:rPr>
                <w:rFonts w:ascii="Times New Roman" w:hAnsi="Times New Roman" w:cs="Times New Roman"/>
                <w:b/>
                <w:sz w:val="16"/>
              </w:rPr>
            </w:pPr>
            <w:r w:rsidRPr="00A45B4E">
              <w:rPr>
                <w:rFonts w:ascii="Times New Roman" w:hAnsi="Times New Roman" w:cs="Times New Roman"/>
                <w:b/>
                <w:sz w:val="16"/>
              </w:rPr>
              <w:t>N=100</w:t>
            </w:r>
          </w:p>
        </w:tc>
        <w:tc>
          <w:tcPr>
            <w:tcW w:w="1984" w:type="dxa"/>
            <w:tcBorders>
              <w:top w:val="single" w:sz="4" w:space="0" w:color="auto"/>
              <w:bottom w:val="single" w:sz="4" w:space="0" w:color="auto"/>
            </w:tcBorders>
            <w:vAlign w:val="center"/>
          </w:tcPr>
          <w:p w14:paraId="60833871" w14:textId="77777777" w:rsidR="00B839C1" w:rsidRPr="00A45B4E" w:rsidRDefault="00B839C1" w:rsidP="00CD7CF1">
            <w:pPr>
              <w:jc w:val="center"/>
              <w:rPr>
                <w:rFonts w:ascii="Times New Roman" w:hAnsi="Times New Roman" w:cs="Times New Roman"/>
                <w:b/>
                <w:sz w:val="16"/>
              </w:rPr>
            </w:pPr>
            <w:r w:rsidRPr="00A45B4E">
              <w:rPr>
                <w:rFonts w:ascii="Times New Roman" w:hAnsi="Times New Roman" w:cs="Times New Roman"/>
                <w:b/>
                <w:sz w:val="16"/>
              </w:rPr>
              <w:t xml:space="preserve">Economic </w:t>
            </w:r>
          </w:p>
          <w:p w14:paraId="2519429C" w14:textId="77777777" w:rsidR="00B839C1" w:rsidRPr="00A45B4E" w:rsidRDefault="00B839C1" w:rsidP="00CD7CF1">
            <w:pPr>
              <w:jc w:val="center"/>
              <w:rPr>
                <w:rFonts w:ascii="Times New Roman" w:hAnsi="Times New Roman" w:cs="Times New Roman"/>
                <w:b/>
                <w:sz w:val="16"/>
              </w:rPr>
            </w:pPr>
            <w:r w:rsidRPr="00A45B4E">
              <w:rPr>
                <w:rFonts w:ascii="Times New Roman" w:hAnsi="Times New Roman" w:cs="Times New Roman"/>
                <w:b/>
                <w:sz w:val="16"/>
              </w:rPr>
              <w:t>dimension</w:t>
            </w:r>
          </w:p>
        </w:tc>
        <w:tc>
          <w:tcPr>
            <w:tcW w:w="1985" w:type="dxa"/>
            <w:tcBorders>
              <w:top w:val="single" w:sz="4" w:space="0" w:color="auto"/>
              <w:bottom w:val="single" w:sz="4" w:space="0" w:color="auto"/>
            </w:tcBorders>
            <w:vAlign w:val="center"/>
          </w:tcPr>
          <w:p w14:paraId="551D224D" w14:textId="77777777" w:rsidR="00B839C1" w:rsidRPr="00A45B4E" w:rsidRDefault="00B839C1" w:rsidP="00CD7CF1">
            <w:pPr>
              <w:jc w:val="center"/>
              <w:rPr>
                <w:rFonts w:ascii="Times New Roman" w:hAnsi="Times New Roman" w:cs="Times New Roman"/>
                <w:b/>
                <w:sz w:val="16"/>
              </w:rPr>
            </w:pPr>
            <w:r w:rsidRPr="00A45B4E">
              <w:rPr>
                <w:rFonts w:ascii="Times New Roman" w:hAnsi="Times New Roman" w:cs="Times New Roman"/>
                <w:b/>
                <w:sz w:val="16"/>
              </w:rPr>
              <w:t xml:space="preserve">Social </w:t>
            </w:r>
          </w:p>
          <w:p w14:paraId="59B9D6B0" w14:textId="77777777" w:rsidR="00B839C1" w:rsidRPr="00A45B4E" w:rsidRDefault="00B839C1" w:rsidP="00CD7CF1">
            <w:pPr>
              <w:jc w:val="center"/>
              <w:rPr>
                <w:rFonts w:ascii="Times New Roman" w:hAnsi="Times New Roman" w:cs="Times New Roman"/>
                <w:b/>
                <w:sz w:val="16"/>
              </w:rPr>
            </w:pPr>
            <w:r w:rsidRPr="00A45B4E">
              <w:rPr>
                <w:rFonts w:ascii="Times New Roman" w:hAnsi="Times New Roman" w:cs="Times New Roman"/>
                <w:b/>
                <w:sz w:val="16"/>
              </w:rPr>
              <w:t>dimension</w:t>
            </w:r>
          </w:p>
        </w:tc>
        <w:tc>
          <w:tcPr>
            <w:tcW w:w="2124" w:type="dxa"/>
            <w:tcBorders>
              <w:top w:val="single" w:sz="4" w:space="0" w:color="auto"/>
              <w:bottom w:val="single" w:sz="4" w:space="0" w:color="auto"/>
            </w:tcBorders>
            <w:vAlign w:val="center"/>
          </w:tcPr>
          <w:p w14:paraId="496DFB4C" w14:textId="77777777" w:rsidR="00B839C1" w:rsidRPr="00A45B4E" w:rsidRDefault="00B839C1" w:rsidP="00CD7CF1">
            <w:pPr>
              <w:jc w:val="center"/>
              <w:rPr>
                <w:rFonts w:ascii="Times New Roman" w:hAnsi="Times New Roman" w:cs="Times New Roman"/>
                <w:b/>
                <w:sz w:val="16"/>
              </w:rPr>
            </w:pPr>
            <w:r w:rsidRPr="00A45B4E">
              <w:rPr>
                <w:rFonts w:ascii="Times New Roman" w:hAnsi="Times New Roman" w:cs="Times New Roman"/>
                <w:b/>
                <w:sz w:val="16"/>
              </w:rPr>
              <w:t xml:space="preserve">Governance </w:t>
            </w:r>
          </w:p>
          <w:p w14:paraId="1B4E78E4" w14:textId="77777777" w:rsidR="00B839C1" w:rsidRPr="00A45B4E" w:rsidRDefault="00B839C1" w:rsidP="00CD7CF1">
            <w:pPr>
              <w:jc w:val="center"/>
              <w:rPr>
                <w:rFonts w:ascii="Times New Roman" w:hAnsi="Times New Roman" w:cs="Times New Roman"/>
                <w:b/>
                <w:sz w:val="16"/>
              </w:rPr>
            </w:pPr>
            <w:r w:rsidRPr="00A45B4E">
              <w:rPr>
                <w:rFonts w:ascii="Times New Roman" w:hAnsi="Times New Roman" w:cs="Times New Roman"/>
                <w:b/>
                <w:sz w:val="16"/>
              </w:rPr>
              <w:t>dimension</w:t>
            </w:r>
          </w:p>
        </w:tc>
      </w:tr>
      <w:tr w:rsidR="00B839C1" w:rsidRPr="006A6C88" w14:paraId="59CCA91D" w14:textId="77777777" w:rsidTr="00CD7CF1">
        <w:tc>
          <w:tcPr>
            <w:tcW w:w="1560" w:type="dxa"/>
            <w:tcBorders>
              <w:top w:val="single" w:sz="4" w:space="0" w:color="auto"/>
            </w:tcBorders>
          </w:tcPr>
          <w:p w14:paraId="56EE4404" w14:textId="77777777" w:rsidR="00B839C1" w:rsidRPr="006A6C88" w:rsidRDefault="00B839C1" w:rsidP="00CD7CF1">
            <w:pPr>
              <w:rPr>
                <w:rFonts w:ascii="Times New Roman" w:hAnsi="Times New Roman" w:cs="Times New Roman"/>
                <w:sz w:val="16"/>
              </w:rPr>
            </w:pPr>
            <w:r w:rsidRPr="006A6C88">
              <w:rPr>
                <w:rFonts w:ascii="Times New Roman" w:hAnsi="Times New Roman" w:cs="Times New Roman"/>
                <w:sz w:val="16"/>
              </w:rPr>
              <w:t>Chi-square</w:t>
            </w:r>
          </w:p>
        </w:tc>
        <w:tc>
          <w:tcPr>
            <w:tcW w:w="1984" w:type="dxa"/>
            <w:tcBorders>
              <w:top w:val="single" w:sz="4" w:space="0" w:color="auto"/>
            </w:tcBorders>
            <w:vAlign w:val="center"/>
          </w:tcPr>
          <w:p w14:paraId="0DB43382" w14:textId="77777777" w:rsidR="00B839C1" w:rsidRPr="006A6C88" w:rsidRDefault="00B839C1" w:rsidP="00CD7CF1">
            <w:pPr>
              <w:jc w:val="center"/>
              <w:rPr>
                <w:rFonts w:ascii="Times New Roman" w:hAnsi="Times New Roman" w:cs="Times New Roman"/>
                <w:sz w:val="16"/>
              </w:rPr>
            </w:pPr>
            <w:r w:rsidRPr="006A6C88">
              <w:rPr>
                <w:rFonts w:ascii="Times New Roman" w:hAnsi="Times New Roman" w:cs="Times New Roman"/>
                <w:sz w:val="16"/>
              </w:rPr>
              <w:t>9.477</w:t>
            </w:r>
          </w:p>
        </w:tc>
        <w:tc>
          <w:tcPr>
            <w:tcW w:w="1985" w:type="dxa"/>
            <w:tcBorders>
              <w:top w:val="single" w:sz="4" w:space="0" w:color="auto"/>
            </w:tcBorders>
            <w:vAlign w:val="center"/>
          </w:tcPr>
          <w:p w14:paraId="5528C4D6" w14:textId="77777777" w:rsidR="00B839C1" w:rsidRPr="006A6C88" w:rsidRDefault="00B839C1" w:rsidP="00CD7CF1">
            <w:pPr>
              <w:jc w:val="center"/>
              <w:rPr>
                <w:rFonts w:ascii="Times New Roman" w:hAnsi="Times New Roman" w:cs="Times New Roman"/>
                <w:sz w:val="16"/>
              </w:rPr>
            </w:pPr>
            <w:r w:rsidRPr="006A6C88">
              <w:rPr>
                <w:rFonts w:ascii="Times New Roman" w:hAnsi="Times New Roman" w:cs="Times New Roman"/>
                <w:sz w:val="16"/>
              </w:rPr>
              <w:t>68.423</w:t>
            </w:r>
          </w:p>
        </w:tc>
        <w:tc>
          <w:tcPr>
            <w:tcW w:w="2124" w:type="dxa"/>
            <w:tcBorders>
              <w:top w:val="single" w:sz="4" w:space="0" w:color="auto"/>
            </w:tcBorders>
            <w:vAlign w:val="center"/>
          </w:tcPr>
          <w:p w14:paraId="181431F1" w14:textId="77777777" w:rsidR="00B839C1" w:rsidRPr="006A6C88" w:rsidRDefault="00B839C1" w:rsidP="00CD7CF1">
            <w:pPr>
              <w:jc w:val="center"/>
              <w:rPr>
                <w:rFonts w:ascii="Times New Roman" w:hAnsi="Times New Roman" w:cs="Times New Roman"/>
                <w:sz w:val="16"/>
              </w:rPr>
            </w:pPr>
            <w:r w:rsidRPr="006A6C88">
              <w:rPr>
                <w:rFonts w:ascii="Times New Roman" w:hAnsi="Times New Roman" w:cs="Times New Roman"/>
                <w:sz w:val="16"/>
              </w:rPr>
              <w:t>13.184</w:t>
            </w:r>
          </w:p>
        </w:tc>
      </w:tr>
      <w:tr w:rsidR="00B839C1" w:rsidRPr="006A6C88" w14:paraId="4EB813B6" w14:textId="77777777" w:rsidTr="00CD7CF1">
        <w:tc>
          <w:tcPr>
            <w:tcW w:w="1560" w:type="dxa"/>
          </w:tcPr>
          <w:p w14:paraId="1B80B114" w14:textId="77777777" w:rsidR="00B839C1" w:rsidRPr="006A6C88" w:rsidRDefault="00B839C1" w:rsidP="00CD7CF1">
            <w:pPr>
              <w:rPr>
                <w:rFonts w:ascii="Times New Roman" w:hAnsi="Times New Roman" w:cs="Times New Roman"/>
                <w:sz w:val="16"/>
              </w:rPr>
            </w:pPr>
            <w:r w:rsidRPr="006A6C88">
              <w:rPr>
                <w:rFonts w:ascii="Times New Roman" w:hAnsi="Times New Roman" w:cs="Times New Roman"/>
                <w:sz w:val="16"/>
              </w:rPr>
              <w:t>RMSEA</w:t>
            </w:r>
          </w:p>
        </w:tc>
        <w:tc>
          <w:tcPr>
            <w:tcW w:w="1984" w:type="dxa"/>
            <w:vAlign w:val="center"/>
          </w:tcPr>
          <w:p w14:paraId="33160330" w14:textId="77777777" w:rsidR="00B839C1" w:rsidRPr="006A6C88" w:rsidRDefault="00B839C1" w:rsidP="00CD7CF1">
            <w:pPr>
              <w:jc w:val="center"/>
              <w:rPr>
                <w:rFonts w:ascii="Times New Roman" w:hAnsi="Times New Roman" w:cs="Times New Roman"/>
                <w:sz w:val="16"/>
              </w:rPr>
            </w:pPr>
            <w:r w:rsidRPr="006A6C88">
              <w:rPr>
                <w:rFonts w:ascii="Times New Roman" w:hAnsi="Times New Roman" w:cs="Times New Roman"/>
                <w:sz w:val="16"/>
              </w:rPr>
              <w:t>0.041</w:t>
            </w:r>
          </w:p>
        </w:tc>
        <w:tc>
          <w:tcPr>
            <w:tcW w:w="1985" w:type="dxa"/>
            <w:vAlign w:val="center"/>
          </w:tcPr>
          <w:p w14:paraId="6E8527BE" w14:textId="77777777" w:rsidR="00B839C1" w:rsidRPr="006A6C88" w:rsidRDefault="00B839C1" w:rsidP="00CD7CF1">
            <w:pPr>
              <w:jc w:val="center"/>
              <w:rPr>
                <w:rFonts w:ascii="Times New Roman" w:hAnsi="Times New Roman" w:cs="Times New Roman"/>
                <w:sz w:val="16"/>
              </w:rPr>
            </w:pPr>
            <w:r w:rsidRPr="006A6C88">
              <w:rPr>
                <w:rFonts w:ascii="Times New Roman" w:hAnsi="Times New Roman" w:cs="Times New Roman"/>
                <w:sz w:val="16"/>
              </w:rPr>
              <w:t>0.056</w:t>
            </w:r>
          </w:p>
        </w:tc>
        <w:tc>
          <w:tcPr>
            <w:tcW w:w="2124" w:type="dxa"/>
            <w:vAlign w:val="center"/>
          </w:tcPr>
          <w:p w14:paraId="0552A607" w14:textId="77777777" w:rsidR="00B839C1" w:rsidRPr="006A6C88" w:rsidRDefault="00B839C1" w:rsidP="00CD7CF1">
            <w:pPr>
              <w:jc w:val="center"/>
              <w:rPr>
                <w:rFonts w:ascii="Times New Roman" w:hAnsi="Times New Roman" w:cs="Times New Roman"/>
                <w:sz w:val="16"/>
              </w:rPr>
            </w:pPr>
            <w:r w:rsidRPr="006A6C88">
              <w:rPr>
                <w:rFonts w:ascii="Times New Roman" w:hAnsi="Times New Roman" w:cs="Times New Roman"/>
                <w:sz w:val="16"/>
              </w:rPr>
              <w:t>0.104</w:t>
            </w:r>
          </w:p>
        </w:tc>
      </w:tr>
      <w:tr w:rsidR="00B839C1" w:rsidRPr="006A6C88" w14:paraId="32CE7899" w14:textId="77777777" w:rsidTr="00CD7CF1">
        <w:tc>
          <w:tcPr>
            <w:tcW w:w="1560" w:type="dxa"/>
          </w:tcPr>
          <w:p w14:paraId="06D91DAA" w14:textId="77777777" w:rsidR="00B839C1" w:rsidRPr="006A6C88" w:rsidRDefault="00B839C1" w:rsidP="00CD7CF1">
            <w:pPr>
              <w:rPr>
                <w:rFonts w:ascii="Times New Roman" w:hAnsi="Times New Roman" w:cs="Times New Roman"/>
                <w:sz w:val="16"/>
              </w:rPr>
            </w:pPr>
            <w:r w:rsidRPr="006A6C88">
              <w:rPr>
                <w:rFonts w:ascii="Times New Roman" w:hAnsi="Times New Roman" w:cs="Times New Roman"/>
                <w:sz w:val="16"/>
              </w:rPr>
              <w:t>CFI</w:t>
            </w:r>
          </w:p>
        </w:tc>
        <w:tc>
          <w:tcPr>
            <w:tcW w:w="1984" w:type="dxa"/>
            <w:vAlign w:val="center"/>
          </w:tcPr>
          <w:p w14:paraId="5253AF7D" w14:textId="77777777" w:rsidR="00B839C1" w:rsidRPr="006A6C88" w:rsidRDefault="00B839C1" w:rsidP="00CD7CF1">
            <w:pPr>
              <w:jc w:val="center"/>
              <w:rPr>
                <w:rFonts w:ascii="Times New Roman" w:hAnsi="Times New Roman" w:cs="Times New Roman"/>
                <w:sz w:val="16"/>
              </w:rPr>
            </w:pPr>
            <w:r w:rsidRPr="006A6C88">
              <w:rPr>
                <w:rFonts w:ascii="Times New Roman" w:hAnsi="Times New Roman" w:cs="Times New Roman"/>
                <w:sz w:val="16"/>
              </w:rPr>
              <w:t>0.997</w:t>
            </w:r>
          </w:p>
        </w:tc>
        <w:tc>
          <w:tcPr>
            <w:tcW w:w="1985" w:type="dxa"/>
            <w:vAlign w:val="center"/>
          </w:tcPr>
          <w:p w14:paraId="6F80391B" w14:textId="77777777" w:rsidR="00B839C1" w:rsidRPr="006A6C88" w:rsidRDefault="00B839C1" w:rsidP="00CD7CF1">
            <w:pPr>
              <w:jc w:val="center"/>
              <w:rPr>
                <w:rFonts w:ascii="Times New Roman" w:hAnsi="Times New Roman" w:cs="Times New Roman"/>
                <w:sz w:val="16"/>
              </w:rPr>
            </w:pPr>
            <w:r w:rsidRPr="006A6C88">
              <w:rPr>
                <w:rFonts w:ascii="Times New Roman" w:hAnsi="Times New Roman" w:cs="Times New Roman"/>
                <w:sz w:val="16"/>
              </w:rPr>
              <w:t>0.954</w:t>
            </w:r>
          </w:p>
        </w:tc>
        <w:tc>
          <w:tcPr>
            <w:tcW w:w="2124" w:type="dxa"/>
            <w:vAlign w:val="center"/>
          </w:tcPr>
          <w:p w14:paraId="251BB3D3" w14:textId="77777777" w:rsidR="00B839C1" w:rsidRPr="006A6C88" w:rsidRDefault="00B839C1" w:rsidP="00CD7CF1">
            <w:pPr>
              <w:jc w:val="center"/>
              <w:rPr>
                <w:rFonts w:ascii="Times New Roman" w:hAnsi="Times New Roman" w:cs="Times New Roman"/>
                <w:sz w:val="16"/>
              </w:rPr>
            </w:pPr>
            <w:r w:rsidRPr="006A6C88">
              <w:rPr>
                <w:rFonts w:ascii="Times New Roman" w:hAnsi="Times New Roman" w:cs="Times New Roman"/>
                <w:sz w:val="16"/>
              </w:rPr>
              <w:t>0.914</w:t>
            </w:r>
          </w:p>
        </w:tc>
      </w:tr>
      <w:tr w:rsidR="00B839C1" w:rsidRPr="006A6C88" w14:paraId="2D0C7956" w14:textId="77777777" w:rsidTr="00CD7CF1">
        <w:tc>
          <w:tcPr>
            <w:tcW w:w="1560" w:type="dxa"/>
            <w:tcBorders>
              <w:bottom w:val="single" w:sz="4" w:space="0" w:color="auto"/>
            </w:tcBorders>
          </w:tcPr>
          <w:p w14:paraId="35F56258" w14:textId="77777777" w:rsidR="00B839C1" w:rsidRPr="006A6C88" w:rsidRDefault="00B839C1" w:rsidP="00CD7CF1">
            <w:pPr>
              <w:rPr>
                <w:rFonts w:ascii="Times New Roman" w:hAnsi="Times New Roman" w:cs="Times New Roman"/>
                <w:sz w:val="16"/>
              </w:rPr>
            </w:pPr>
            <w:r w:rsidRPr="006A6C88">
              <w:rPr>
                <w:rFonts w:ascii="Times New Roman" w:hAnsi="Times New Roman" w:cs="Times New Roman"/>
                <w:sz w:val="16"/>
              </w:rPr>
              <w:t>SRMR</w:t>
            </w:r>
          </w:p>
        </w:tc>
        <w:tc>
          <w:tcPr>
            <w:tcW w:w="1984" w:type="dxa"/>
            <w:tcBorders>
              <w:bottom w:val="single" w:sz="4" w:space="0" w:color="auto"/>
            </w:tcBorders>
            <w:vAlign w:val="center"/>
          </w:tcPr>
          <w:p w14:paraId="21CA9EDD" w14:textId="77777777" w:rsidR="00B839C1" w:rsidRPr="006A6C88" w:rsidRDefault="00B839C1" w:rsidP="00CD7CF1">
            <w:pPr>
              <w:jc w:val="center"/>
              <w:rPr>
                <w:rFonts w:ascii="Times New Roman" w:hAnsi="Times New Roman" w:cs="Times New Roman"/>
                <w:sz w:val="16"/>
              </w:rPr>
            </w:pPr>
            <w:r w:rsidRPr="006A6C88">
              <w:rPr>
                <w:rFonts w:ascii="Times New Roman" w:hAnsi="Times New Roman" w:cs="Times New Roman"/>
                <w:sz w:val="16"/>
              </w:rPr>
              <w:t>0.028</w:t>
            </w:r>
          </w:p>
        </w:tc>
        <w:tc>
          <w:tcPr>
            <w:tcW w:w="1985" w:type="dxa"/>
            <w:tcBorders>
              <w:bottom w:val="single" w:sz="4" w:space="0" w:color="auto"/>
            </w:tcBorders>
            <w:vAlign w:val="center"/>
          </w:tcPr>
          <w:p w14:paraId="753D5667" w14:textId="77777777" w:rsidR="00B839C1" w:rsidRPr="006A6C88" w:rsidRDefault="00B839C1" w:rsidP="00CD7CF1">
            <w:pPr>
              <w:jc w:val="center"/>
              <w:rPr>
                <w:rFonts w:ascii="Times New Roman" w:hAnsi="Times New Roman" w:cs="Times New Roman"/>
                <w:sz w:val="16"/>
              </w:rPr>
            </w:pPr>
            <w:r w:rsidRPr="006A6C88">
              <w:rPr>
                <w:rFonts w:ascii="Times New Roman" w:hAnsi="Times New Roman" w:cs="Times New Roman"/>
                <w:sz w:val="16"/>
              </w:rPr>
              <w:t>0.058</w:t>
            </w:r>
          </w:p>
        </w:tc>
        <w:tc>
          <w:tcPr>
            <w:tcW w:w="2124" w:type="dxa"/>
            <w:tcBorders>
              <w:bottom w:val="single" w:sz="4" w:space="0" w:color="auto"/>
            </w:tcBorders>
            <w:vAlign w:val="center"/>
          </w:tcPr>
          <w:p w14:paraId="4D28B09E" w14:textId="77777777" w:rsidR="00B839C1" w:rsidRPr="006A6C88" w:rsidRDefault="00B839C1" w:rsidP="00CD7CF1">
            <w:pPr>
              <w:jc w:val="center"/>
              <w:rPr>
                <w:rFonts w:ascii="Times New Roman" w:hAnsi="Times New Roman" w:cs="Times New Roman"/>
                <w:sz w:val="16"/>
              </w:rPr>
            </w:pPr>
            <w:r w:rsidRPr="006A6C88">
              <w:rPr>
                <w:rFonts w:ascii="Times New Roman" w:hAnsi="Times New Roman" w:cs="Times New Roman"/>
                <w:sz w:val="16"/>
              </w:rPr>
              <w:t>0.060</w:t>
            </w:r>
          </w:p>
        </w:tc>
      </w:tr>
    </w:tbl>
    <w:p w14:paraId="5297AD36" w14:textId="77777777" w:rsidR="00F441D8" w:rsidRDefault="00F441D8" w:rsidP="00B839C1">
      <w:pPr>
        <w:ind w:left="567"/>
        <w:jc w:val="both"/>
        <w:rPr>
          <w:rFonts w:ascii="Times New Roman" w:hAnsi="Times New Roman" w:cs="Times New Roman"/>
          <w:bCs/>
          <w:lang w:val="en-GB"/>
        </w:rPr>
      </w:pPr>
    </w:p>
    <w:p w14:paraId="1FDCC9B6" w14:textId="77777777" w:rsidR="00B839C1" w:rsidRPr="00F441D8" w:rsidRDefault="00B839C1" w:rsidP="00F441D8">
      <w:pPr>
        <w:jc w:val="both"/>
        <w:rPr>
          <w:rFonts w:ascii="Times New Roman" w:hAnsi="Times New Roman" w:cs="Times New Roman"/>
          <w:bCs/>
          <w:lang w:val="en-GB"/>
        </w:rPr>
      </w:pPr>
      <w:r w:rsidRPr="00A45B4E">
        <w:rPr>
          <w:rFonts w:ascii="Times New Roman" w:hAnsi="Times New Roman" w:cs="Times New Roman"/>
          <w:bCs/>
          <w:i/>
          <w:sz w:val="24"/>
          <w:lang w:val="en-GB"/>
        </w:rPr>
        <w:t>Finally, the estimation step</w:t>
      </w:r>
      <w:r w:rsidR="009E25E5">
        <w:rPr>
          <w:rFonts w:ascii="Times New Roman" w:hAnsi="Times New Roman" w:cs="Times New Roman"/>
          <w:bCs/>
          <w:i/>
          <w:sz w:val="24"/>
          <w:lang w:val="en-GB"/>
        </w:rPr>
        <w:t>-</w:t>
      </w:r>
      <w:r w:rsidRPr="00A45B4E">
        <w:rPr>
          <w:rFonts w:ascii="Times New Roman" w:hAnsi="Times New Roman" w:cs="Times New Roman"/>
          <w:bCs/>
          <w:i/>
          <w:sz w:val="24"/>
          <w:lang w:val="en-GB"/>
        </w:rPr>
        <w:t>by</w:t>
      </w:r>
      <w:r w:rsidR="009E25E5">
        <w:rPr>
          <w:rFonts w:ascii="Times New Roman" w:hAnsi="Times New Roman" w:cs="Times New Roman"/>
          <w:bCs/>
          <w:i/>
          <w:sz w:val="24"/>
          <w:lang w:val="en-GB"/>
        </w:rPr>
        <w:t>-</w:t>
      </w:r>
      <w:r w:rsidRPr="00A45B4E">
        <w:rPr>
          <w:rFonts w:ascii="Times New Roman" w:hAnsi="Times New Roman" w:cs="Times New Roman"/>
          <w:bCs/>
          <w:i/>
          <w:sz w:val="24"/>
          <w:lang w:val="en-GB"/>
        </w:rPr>
        <w:t xml:space="preserve">step of the proposed models together with the rate of participation in the questionnaire (43%) enables us to use formative indicators guaranteeing the global fit. Moreover, SEM methodology guarantees the stability of the parameters in the model and it is suitable to answer the aim of this study. </w:t>
      </w:r>
    </w:p>
    <w:p w14:paraId="7432FD77" w14:textId="77777777" w:rsidR="007A3B46" w:rsidRDefault="007A3B46" w:rsidP="00497A22">
      <w:pPr>
        <w:jc w:val="both"/>
        <w:rPr>
          <w:rFonts w:ascii="Times New Roman" w:hAnsi="Times New Roman" w:cs="Times New Roman"/>
          <w:i/>
          <w:sz w:val="24"/>
        </w:rPr>
      </w:pPr>
    </w:p>
    <w:p w14:paraId="6332C0D4" w14:textId="77777777" w:rsidR="00B839C1" w:rsidRDefault="00B839C1" w:rsidP="00497A22">
      <w:pPr>
        <w:jc w:val="both"/>
        <w:rPr>
          <w:rFonts w:ascii="Times New Roman" w:hAnsi="Times New Roman" w:cs="Times New Roman"/>
          <w:i/>
          <w:sz w:val="24"/>
        </w:rPr>
      </w:pPr>
    </w:p>
    <w:p w14:paraId="2D1C75EF" w14:textId="77777777" w:rsidR="00584724" w:rsidRDefault="00584724" w:rsidP="00497A22">
      <w:pPr>
        <w:jc w:val="both"/>
        <w:rPr>
          <w:rFonts w:ascii="Times New Roman" w:hAnsi="Times New Roman" w:cs="Times New Roman"/>
          <w:i/>
          <w:sz w:val="24"/>
        </w:rPr>
        <w:sectPr w:rsidR="00584724">
          <w:pgSz w:w="11906" w:h="16838"/>
          <w:pgMar w:top="1417" w:right="1701" w:bottom="1417" w:left="1701" w:header="708" w:footer="708" w:gutter="0"/>
          <w:cols w:space="708"/>
          <w:docGrid w:linePitch="360"/>
        </w:sectPr>
      </w:pPr>
    </w:p>
    <w:p w14:paraId="37E52166" w14:textId="77777777" w:rsidR="00B839C1" w:rsidRDefault="00584724" w:rsidP="00497A22">
      <w:pPr>
        <w:jc w:val="both"/>
        <w:rPr>
          <w:rFonts w:ascii="Times New Roman" w:hAnsi="Times New Roman" w:cs="Times New Roman"/>
          <w:b/>
          <w:sz w:val="24"/>
        </w:rPr>
      </w:pPr>
      <w:r w:rsidRPr="00584724">
        <w:rPr>
          <w:rFonts w:ascii="Times New Roman" w:hAnsi="Times New Roman" w:cs="Times New Roman"/>
          <w:b/>
          <w:sz w:val="24"/>
        </w:rPr>
        <w:lastRenderedPageBreak/>
        <w:t>References</w:t>
      </w:r>
    </w:p>
    <w:p w14:paraId="6C3F1C25" w14:textId="77777777" w:rsidR="00584724" w:rsidRDefault="00584724" w:rsidP="00584724">
      <w:pPr>
        <w:tabs>
          <w:tab w:val="left" w:pos="7371"/>
        </w:tabs>
        <w:rPr>
          <w:rStyle w:val="Hipervnculo"/>
          <w:rFonts w:ascii="Times New Roman" w:hAnsi="Times New Roman" w:cs="Times New Roman"/>
          <w:sz w:val="24"/>
          <w:szCs w:val="24"/>
          <w:shd w:val="clear" w:color="auto" w:fill="FFFFFF"/>
        </w:rPr>
      </w:pPr>
      <w:r w:rsidRPr="004273E3">
        <w:rPr>
          <w:rFonts w:ascii="Times New Roman" w:hAnsi="Times New Roman" w:cs="Times New Roman"/>
          <w:sz w:val="24"/>
          <w:szCs w:val="24"/>
          <w:shd w:val="clear" w:color="auto" w:fill="FFFFFF"/>
        </w:rPr>
        <w:t xml:space="preserve">Anderson, J.C., &amp; </w:t>
      </w:r>
      <w:proofErr w:type="spellStart"/>
      <w:r w:rsidRPr="004273E3">
        <w:rPr>
          <w:rFonts w:ascii="Times New Roman" w:hAnsi="Times New Roman" w:cs="Times New Roman"/>
          <w:sz w:val="24"/>
          <w:szCs w:val="24"/>
          <w:shd w:val="clear" w:color="auto" w:fill="FFFFFF"/>
        </w:rPr>
        <w:t>Gerbing</w:t>
      </w:r>
      <w:proofErr w:type="spellEnd"/>
      <w:r w:rsidRPr="004273E3">
        <w:rPr>
          <w:rFonts w:ascii="Times New Roman" w:hAnsi="Times New Roman" w:cs="Times New Roman"/>
          <w:sz w:val="24"/>
          <w:szCs w:val="24"/>
          <w:shd w:val="clear" w:color="auto" w:fill="FFFFFF"/>
        </w:rPr>
        <w:t xml:space="preserve">, D.W. (1984). The effect of sampling error on convergence, improper solutions, and goodness-of-fit indices for maximum likelihood confirmatory factor analysis. </w:t>
      </w:r>
      <w:proofErr w:type="spellStart"/>
      <w:r w:rsidRPr="004273E3">
        <w:rPr>
          <w:rFonts w:ascii="Times New Roman" w:hAnsi="Times New Roman" w:cs="Times New Roman"/>
          <w:i/>
          <w:iCs/>
          <w:sz w:val="24"/>
          <w:szCs w:val="24"/>
          <w:shd w:val="clear" w:color="auto" w:fill="FFFFFF"/>
        </w:rPr>
        <w:t>Psychometrika</w:t>
      </w:r>
      <w:proofErr w:type="spellEnd"/>
      <w:r w:rsidRPr="004273E3">
        <w:rPr>
          <w:rFonts w:ascii="Times New Roman" w:hAnsi="Times New Roman" w:cs="Times New Roman"/>
          <w:sz w:val="24"/>
          <w:szCs w:val="24"/>
          <w:shd w:val="clear" w:color="auto" w:fill="FFFFFF"/>
        </w:rPr>
        <w:t>, </w:t>
      </w:r>
      <w:r w:rsidRPr="004273E3">
        <w:rPr>
          <w:rFonts w:ascii="Times New Roman" w:hAnsi="Times New Roman" w:cs="Times New Roman"/>
          <w:i/>
          <w:iCs/>
          <w:sz w:val="24"/>
          <w:szCs w:val="24"/>
          <w:shd w:val="clear" w:color="auto" w:fill="FFFFFF"/>
        </w:rPr>
        <w:t>49</w:t>
      </w:r>
      <w:r w:rsidRPr="004273E3">
        <w:rPr>
          <w:rFonts w:ascii="Times New Roman" w:hAnsi="Times New Roman" w:cs="Times New Roman"/>
          <w:sz w:val="24"/>
          <w:szCs w:val="24"/>
          <w:shd w:val="clear" w:color="auto" w:fill="FFFFFF"/>
        </w:rPr>
        <w:t>(2), 155-173.</w:t>
      </w:r>
      <w:hyperlink r:id="rId6" w:history="1">
        <w:r w:rsidRPr="009E0C42">
          <w:rPr>
            <w:rStyle w:val="Hipervnculo"/>
            <w:rFonts w:ascii="Times New Roman" w:hAnsi="Times New Roman" w:cs="Times New Roman"/>
            <w:sz w:val="24"/>
            <w:szCs w:val="24"/>
            <w:shd w:val="clear" w:color="auto" w:fill="FFFFFF"/>
          </w:rPr>
          <w:t>http://dx.doi.org/10.1007/BF02294170</w:t>
        </w:r>
      </w:hyperlink>
    </w:p>
    <w:p w14:paraId="4C27AC54" w14:textId="77777777" w:rsidR="00584724" w:rsidRPr="004273E3" w:rsidRDefault="00584724" w:rsidP="00584724">
      <w:pPr>
        <w:tabs>
          <w:tab w:val="left" w:pos="7371"/>
        </w:tabs>
        <w:rPr>
          <w:rFonts w:ascii="Times New Roman" w:eastAsia="Times New Roman" w:hAnsi="Times New Roman" w:cs="Times New Roman"/>
          <w:sz w:val="24"/>
          <w:szCs w:val="24"/>
          <w:lang w:eastAsia="es-ES"/>
        </w:rPr>
      </w:pPr>
      <w:r w:rsidRPr="004273E3">
        <w:rPr>
          <w:rFonts w:ascii="Times New Roman" w:eastAsia="Times New Roman" w:hAnsi="Times New Roman" w:cs="Times New Roman"/>
          <w:sz w:val="24"/>
          <w:szCs w:val="24"/>
          <w:lang w:eastAsia="es-ES"/>
        </w:rPr>
        <w:t xml:space="preserve">Armstrong, J.S., &amp; Overton, T.S. (1977). Estimating nonresponse bias in mail surveys. </w:t>
      </w:r>
      <w:r>
        <w:rPr>
          <w:rFonts w:ascii="Times New Roman" w:eastAsia="Times New Roman" w:hAnsi="Times New Roman" w:cs="Times New Roman"/>
          <w:i/>
          <w:iCs/>
          <w:sz w:val="24"/>
          <w:szCs w:val="24"/>
          <w:lang w:eastAsia="es-ES"/>
        </w:rPr>
        <w:t>Journal of M</w:t>
      </w:r>
      <w:r w:rsidRPr="004273E3">
        <w:rPr>
          <w:rFonts w:ascii="Times New Roman" w:eastAsia="Times New Roman" w:hAnsi="Times New Roman" w:cs="Times New Roman"/>
          <w:i/>
          <w:iCs/>
          <w:sz w:val="24"/>
          <w:szCs w:val="24"/>
          <w:lang w:eastAsia="es-ES"/>
        </w:rPr>
        <w:t xml:space="preserve">arketing </w:t>
      </w:r>
      <w:r>
        <w:rPr>
          <w:rFonts w:ascii="Times New Roman" w:eastAsia="Times New Roman" w:hAnsi="Times New Roman" w:cs="Times New Roman"/>
          <w:i/>
          <w:iCs/>
          <w:sz w:val="24"/>
          <w:szCs w:val="24"/>
          <w:lang w:eastAsia="es-ES"/>
        </w:rPr>
        <w:t>R</w:t>
      </w:r>
      <w:r w:rsidRPr="004273E3">
        <w:rPr>
          <w:rFonts w:ascii="Times New Roman" w:eastAsia="Times New Roman" w:hAnsi="Times New Roman" w:cs="Times New Roman"/>
          <w:i/>
          <w:iCs/>
          <w:sz w:val="24"/>
          <w:szCs w:val="24"/>
          <w:lang w:eastAsia="es-ES"/>
        </w:rPr>
        <w:t>esearch, 14</w:t>
      </w:r>
      <w:r w:rsidRPr="004273E3">
        <w:rPr>
          <w:rFonts w:ascii="Times New Roman" w:eastAsia="Times New Roman" w:hAnsi="Times New Roman" w:cs="Times New Roman"/>
          <w:sz w:val="24"/>
          <w:szCs w:val="24"/>
          <w:lang w:eastAsia="es-ES"/>
        </w:rPr>
        <w:t>(3), 396-402.</w:t>
      </w:r>
      <w:r w:rsidRPr="004273E3">
        <w:t xml:space="preserve"> </w:t>
      </w:r>
      <w:hyperlink r:id="rId7" w:history="1">
        <w:r w:rsidRPr="004273E3">
          <w:rPr>
            <w:rStyle w:val="Hipervnculo"/>
            <w:rFonts w:ascii="Times New Roman" w:eastAsia="Times New Roman" w:hAnsi="Times New Roman" w:cs="Times New Roman"/>
            <w:sz w:val="24"/>
            <w:szCs w:val="24"/>
            <w:lang w:eastAsia="es-ES"/>
          </w:rPr>
          <w:t>http://dx.doi.org/10.2307/3150783</w:t>
        </w:r>
      </w:hyperlink>
    </w:p>
    <w:p w14:paraId="290AFA25" w14:textId="77777777" w:rsidR="00584724" w:rsidRPr="004273E3" w:rsidRDefault="00584724" w:rsidP="00584724">
      <w:pPr>
        <w:tabs>
          <w:tab w:val="left" w:pos="7371"/>
        </w:tabs>
        <w:rPr>
          <w:rFonts w:ascii="Times New Roman" w:eastAsia="Times New Roman" w:hAnsi="Times New Roman" w:cs="Times New Roman"/>
          <w:sz w:val="24"/>
          <w:szCs w:val="24"/>
          <w:lang w:eastAsia="es-ES"/>
        </w:rPr>
      </w:pPr>
      <w:r w:rsidRPr="004273E3">
        <w:rPr>
          <w:rFonts w:ascii="Times New Roman" w:eastAsia="Times New Roman" w:hAnsi="Times New Roman" w:cs="Times New Roman"/>
          <w:sz w:val="24"/>
          <w:szCs w:val="24"/>
          <w:lang w:val="en-GB" w:eastAsia="es-ES"/>
        </w:rPr>
        <w:t>Batista-</w:t>
      </w:r>
      <w:proofErr w:type="spellStart"/>
      <w:r w:rsidRPr="004273E3">
        <w:rPr>
          <w:rFonts w:ascii="Times New Roman" w:eastAsia="Times New Roman" w:hAnsi="Times New Roman" w:cs="Times New Roman"/>
          <w:sz w:val="24"/>
          <w:szCs w:val="24"/>
          <w:lang w:val="en-GB" w:eastAsia="es-ES"/>
        </w:rPr>
        <w:t>Foguet</w:t>
      </w:r>
      <w:proofErr w:type="spellEnd"/>
      <w:r w:rsidRPr="004273E3">
        <w:rPr>
          <w:rFonts w:ascii="Times New Roman" w:eastAsia="Times New Roman" w:hAnsi="Times New Roman" w:cs="Times New Roman"/>
          <w:sz w:val="24"/>
          <w:szCs w:val="24"/>
          <w:lang w:val="en-GB" w:eastAsia="es-ES"/>
        </w:rPr>
        <w:t xml:space="preserve">, J.M., Saris, W., Boyatzis, R., </w:t>
      </w:r>
      <w:proofErr w:type="spellStart"/>
      <w:r w:rsidRPr="004273E3">
        <w:rPr>
          <w:rFonts w:ascii="Times New Roman" w:eastAsia="Times New Roman" w:hAnsi="Times New Roman" w:cs="Times New Roman"/>
          <w:sz w:val="24"/>
          <w:szCs w:val="24"/>
          <w:lang w:val="en-GB" w:eastAsia="es-ES"/>
        </w:rPr>
        <w:t>Guillén</w:t>
      </w:r>
      <w:proofErr w:type="spellEnd"/>
      <w:r w:rsidRPr="004273E3">
        <w:rPr>
          <w:rFonts w:ascii="Times New Roman" w:eastAsia="Times New Roman" w:hAnsi="Times New Roman" w:cs="Times New Roman"/>
          <w:sz w:val="24"/>
          <w:szCs w:val="24"/>
          <w:lang w:val="en-GB" w:eastAsia="es-ES"/>
        </w:rPr>
        <w:t xml:space="preserve">, L., &amp; </w:t>
      </w:r>
      <w:proofErr w:type="spellStart"/>
      <w:r w:rsidRPr="004273E3">
        <w:rPr>
          <w:rFonts w:ascii="Times New Roman" w:eastAsia="Times New Roman" w:hAnsi="Times New Roman" w:cs="Times New Roman"/>
          <w:sz w:val="24"/>
          <w:szCs w:val="24"/>
          <w:lang w:val="en-GB" w:eastAsia="es-ES"/>
        </w:rPr>
        <w:t>Serlavós</w:t>
      </w:r>
      <w:proofErr w:type="spellEnd"/>
      <w:r w:rsidRPr="004273E3">
        <w:rPr>
          <w:rFonts w:ascii="Times New Roman" w:eastAsia="Times New Roman" w:hAnsi="Times New Roman" w:cs="Times New Roman"/>
          <w:sz w:val="24"/>
          <w:szCs w:val="24"/>
          <w:lang w:val="en-GB" w:eastAsia="es-ES"/>
        </w:rPr>
        <w:t xml:space="preserve">, R. (2009). </w:t>
      </w:r>
      <w:r w:rsidRPr="004273E3">
        <w:rPr>
          <w:rFonts w:ascii="Times New Roman" w:eastAsia="Times New Roman" w:hAnsi="Times New Roman" w:cs="Times New Roman"/>
          <w:sz w:val="24"/>
          <w:szCs w:val="24"/>
          <w:lang w:eastAsia="es-ES"/>
        </w:rPr>
        <w:t xml:space="preserve">Effect of response scale on assessment of emotional intelligence competencies. </w:t>
      </w:r>
      <w:r w:rsidRPr="004273E3">
        <w:rPr>
          <w:rFonts w:ascii="Times New Roman" w:eastAsia="Times New Roman" w:hAnsi="Times New Roman" w:cs="Times New Roman"/>
          <w:i/>
          <w:iCs/>
          <w:sz w:val="24"/>
          <w:szCs w:val="24"/>
          <w:lang w:eastAsia="es-ES"/>
        </w:rPr>
        <w:t>Personality and Individual Differences, 46</w:t>
      </w:r>
      <w:r w:rsidRPr="004273E3">
        <w:rPr>
          <w:rFonts w:ascii="Times New Roman" w:eastAsia="Times New Roman" w:hAnsi="Times New Roman" w:cs="Times New Roman"/>
          <w:sz w:val="24"/>
          <w:szCs w:val="24"/>
          <w:lang w:eastAsia="es-ES"/>
        </w:rPr>
        <w:t>(5-6), 575-580.</w:t>
      </w:r>
      <w:r>
        <w:rPr>
          <w:rFonts w:ascii="Times New Roman" w:eastAsia="Times New Roman" w:hAnsi="Times New Roman" w:cs="Times New Roman"/>
          <w:sz w:val="24"/>
          <w:szCs w:val="24"/>
          <w:lang w:eastAsia="es-ES"/>
        </w:rPr>
        <w:t xml:space="preserve"> </w:t>
      </w:r>
      <w:hyperlink r:id="rId8" w:history="1">
        <w:r w:rsidRPr="004C754E">
          <w:rPr>
            <w:rStyle w:val="Hipervnculo"/>
            <w:rFonts w:ascii="Times New Roman" w:eastAsia="Times New Roman" w:hAnsi="Times New Roman" w:cs="Times New Roman"/>
            <w:sz w:val="24"/>
            <w:szCs w:val="24"/>
            <w:lang w:eastAsia="es-ES"/>
          </w:rPr>
          <w:t>http://dx.doi.org/10.1016/j.paid.2008.12.011</w:t>
        </w:r>
      </w:hyperlink>
      <w:r w:rsidRPr="004273E3">
        <w:rPr>
          <w:rFonts w:ascii="Times New Roman" w:eastAsia="Times New Roman" w:hAnsi="Times New Roman" w:cs="Times New Roman"/>
          <w:sz w:val="24"/>
          <w:szCs w:val="24"/>
          <w:lang w:eastAsia="es-ES"/>
        </w:rPr>
        <w:t xml:space="preserve"> </w:t>
      </w:r>
    </w:p>
    <w:p w14:paraId="252B18F0" w14:textId="77777777" w:rsidR="00584724" w:rsidRPr="00A07FEE" w:rsidRDefault="00584724" w:rsidP="00584724">
      <w:pPr>
        <w:tabs>
          <w:tab w:val="left" w:pos="7371"/>
        </w:tabs>
        <w:rPr>
          <w:rStyle w:val="Hipervnculo"/>
          <w:rFonts w:ascii="Times New Roman" w:eastAsia="Times New Roman" w:hAnsi="Times New Roman" w:cs="Times New Roman"/>
          <w:sz w:val="24"/>
          <w:szCs w:val="24"/>
          <w:lang w:val="en-GB" w:eastAsia="es-ES"/>
        </w:rPr>
      </w:pPr>
      <w:r w:rsidRPr="004273E3">
        <w:rPr>
          <w:rFonts w:ascii="Times New Roman" w:eastAsia="Times New Roman" w:hAnsi="Times New Roman" w:cs="Times New Roman"/>
          <w:sz w:val="24"/>
          <w:szCs w:val="24"/>
          <w:lang w:eastAsia="es-ES"/>
        </w:rPr>
        <w:t xml:space="preserve">Chang S., van </w:t>
      </w:r>
      <w:proofErr w:type="spellStart"/>
      <w:r w:rsidRPr="004273E3">
        <w:rPr>
          <w:rFonts w:ascii="Times New Roman" w:eastAsia="Times New Roman" w:hAnsi="Times New Roman" w:cs="Times New Roman"/>
          <w:sz w:val="24"/>
          <w:szCs w:val="24"/>
          <w:lang w:eastAsia="es-ES"/>
        </w:rPr>
        <w:t>Wittleloostuijn</w:t>
      </w:r>
      <w:proofErr w:type="spellEnd"/>
      <w:r w:rsidRPr="004273E3">
        <w:rPr>
          <w:rFonts w:ascii="Times New Roman" w:eastAsia="Times New Roman" w:hAnsi="Times New Roman" w:cs="Times New Roman"/>
          <w:sz w:val="24"/>
          <w:szCs w:val="24"/>
          <w:lang w:eastAsia="es-ES"/>
        </w:rPr>
        <w:t xml:space="preserve">, A., &amp; Eden, L. (2010). Common method variance in international business research, </w:t>
      </w:r>
      <w:r w:rsidRPr="004273E3">
        <w:rPr>
          <w:rFonts w:ascii="Times New Roman" w:eastAsia="Times New Roman" w:hAnsi="Times New Roman" w:cs="Times New Roman"/>
          <w:i/>
          <w:iCs/>
          <w:sz w:val="24"/>
          <w:szCs w:val="24"/>
          <w:lang w:eastAsia="es-ES"/>
        </w:rPr>
        <w:t>International Business Studies, 41</w:t>
      </w:r>
      <w:r w:rsidRPr="004273E3">
        <w:rPr>
          <w:rFonts w:ascii="Times New Roman" w:eastAsia="Times New Roman" w:hAnsi="Times New Roman" w:cs="Times New Roman"/>
          <w:sz w:val="24"/>
          <w:szCs w:val="24"/>
          <w:lang w:eastAsia="es-ES"/>
        </w:rPr>
        <w:t>, 178-184.</w:t>
      </w:r>
      <w:hyperlink r:id="rId9" w:history="1">
        <w:r w:rsidRPr="00A07FEE">
          <w:rPr>
            <w:rStyle w:val="Hipervnculo"/>
            <w:rFonts w:ascii="Times New Roman" w:eastAsia="Times New Roman" w:hAnsi="Times New Roman" w:cs="Times New Roman"/>
            <w:sz w:val="24"/>
            <w:szCs w:val="24"/>
            <w:lang w:val="en-GB" w:eastAsia="es-ES"/>
          </w:rPr>
          <w:t>http://dx.doi.org/10.1057/jibs.2009.88</w:t>
        </w:r>
      </w:hyperlink>
    </w:p>
    <w:p w14:paraId="01686B36" w14:textId="77777777" w:rsidR="00584724" w:rsidRPr="00A1489D" w:rsidRDefault="00584724" w:rsidP="00584724">
      <w:pPr>
        <w:widowControl w:val="0"/>
        <w:tabs>
          <w:tab w:val="left" w:pos="7371"/>
        </w:tabs>
        <w:spacing w:before="120" w:after="120" w:line="240" w:lineRule="auto"/>
        <w:rPr>
          <w:rFonts w:ascii="Times New Roman" w:eastAsia="Times New Roman" w:hAnsi="Times New Roman" w:cs="Times New Roman"/>
          <w:sz w:val="24"/>
          <w:szCs w:val="24"/>
          <w:lang w:eastAsia="es-ES"/>
        </w:rPr>
      </w:pPr>
      <w:proofErr w:type="spellStart"/>
      <w:r w:rsidRPr="00A1489D">
        <w:rPr>
          <w:rFonts w:ascii="Times New Roman" w:eastAsia="Times New Roman" w:hAnsi="Times New Roman" w:cs="Times New Roman"/>
          <w:sz w:val="24"/>
          <w:szCs w:val="24"/>
          <w:lang w:eastAsia="es-ES"/>
        </w:rPr>
        <w:t>Iacobucci</w:t>
      </w:r>
      <w:proofErr w:type="spellEnd"/>
      <w:r w:rsidRPr="00A1489D">
        <w:rPr>
          <w:rFonts w:ascii="Times New Roman" w:eastAsia="Times New Roman" w:hAnsi="Times New Roman" w:cs="Times New Roman"/>
          <w:sz w:val="24"/>
          <w:szCs w:val="24"/>
          <w:lang w:eastAsia="es-ES"/>
        </w:rPr>
        <w:t xml:space="preserve">, D. (2010). Structural equations modeling: Fit indices, sample size, and advanced topics. </w:t>
      </w:r>
      <w:r w:rsidRPr="00A1489D">
        <w:rPr>
          <w:rFonts w:ascii="Times New Roman" w:eastAsia="Times New Roman" w:hAnsi="Times New Roman" w:cs="Times New Roman"/>
          <w:i/>
          <w:iCs/>
          <w:sz w:val="24"/>
          <w:szCs w:val="24"/>
          <w:lang w:eastAsia="es-ES"/>
        </w:rPr>
        <w:t>Journal of consumer psychology, 20</w:t>
      </w:r>
      <w:r w:rsidRPr="00A1489D">
        <w:rPr>
          <w:rFonts w:ascii="Times New Roman" w:eastAsia="Times New Roman" w:hAnsi="Times New Roman" w:cs="Times New Roman"/>
          <w:sz w:val="24"/>
          <w:szCs w:val="24"/>
          <w:lang w:eastAsia="es-ES"/>
        </w:rPr>
        <w:t>(1), 90-98.</w:t>
      </w:r>
      <w:r w:rsidRPr="00A1489D">
        <w:t xml:space="preserve"> </w:t>
      </w:r>
      <w:hyperlink r:id="rId10" w:history="1">
        <w:r w:rsidRPr="00A1489D">
          <w:rPr>
            <w:rStyle w:val="Hipervnculo"/>
            <w:rFonts w:ascii="Times New Roman" w:eastAsia="Times New Roman" w:hAnsi="Times New Roman" w:cs="Times New Roman"/>
            <w:sz w:val="24"/>
            <w:szCs w:val="24"/>
            <w:lang w:eastAsia="es-ES"/>
          </w:rPr>
          <w:t>http://dx.doi.org/10.1016/j.jcps.2009.09.003</w:t>
        </w:r>
      </w:hyperlink>
    </w:p>
    <w:p w14:paraId="1DE596B0" w14:textId="77777777" w:rsidR="00584724" w:rsidRPr="004273E3" w:rsidRDefault="00584724" w:rsidP="00584724">
      <w:pPr>
        <w:tabs>
          <w:tab w:val="left" w:pos="7371"/>
        </w:tabs>
        <w:rPr>
          <w:rFonts w:ascii="Times New Roman" w:eastAsia="Times New Roman" w:hAnsi="Times New Roman" w:cs="Times New Roman"/>
          <w:sz w:val="24"/>
          <w:szCs w:val="24"/>
          <w:lang w:eastAsia="es-ES"/>
        </w:rPr>
      </w:pPr>
      <w:r w:rsidRPr="004273E3">
        <w:rPr>
          <w:rFonts w:ascii="Times New Roman" w:eastAsia="Times New Roman" w:hAnsi="Times New Roman" w:cs="Times New Roman"/>
          <w:sz w:val="24"/>
          <w:szCs w:val="24"/>
          <w:lang w:eastAsia="es-ES"/>
        </w:rPr>
        <w:t>Kline R.B. (2015)</w:t>
      </w:r>
      <w:r>
        <w:rPr>
          <w:rFonts w:ascii="Times New Roman" w:eastAsia="Times New Roman" w:hAnsi="Times New Roman" w:cs="Times New Roman"/>
          <w:sz w:val="24"/>
          <w:szCs w:val="24"/>
          <w:lang w:eastAsia="es-ES"/>
        </w:rPr>
        <w:t>.</w:t>
      </w:r>
      <w:r w:rsidRPr="004273E3">
        <w:rPr>
          <w:rFonts w:ascii="Times New Roman" w:eastAsia="Times New Roman" w:hAnsi="Times New Roman" w:cs="Times New Roman"/>
          <w:sz w:val="24"/>
          <w:szCs w:val="24"/>
          <w:lang w:eastAsia="es-ES"/>
        </w:rPr>
        <w:t xml:space="preserve"> </w:t>
      </w:r>
      <w:r w:rsidRPr="003E35C1">
        <w:rPr>
          <w:rFonts w:ascii="Times New Roman" w:eastAsia="Times New Roman" w:hAnsi="Times New Roman" w:cs="Times New Roman"/>
          <w:i/>
          <w:iCs/>
          <w:sz w:val="24"/>
          <w:szCs w:val="24"/>
          <w:lang w:eastAsia="es-ES"/>
        </w:rPr>
        <w:t>Principles and Practice of Structural Equation Modeling</w:t>
      </w:r>
      <w:r w:rsidRPr="004273E3">
        <w:rPr>
          <w:rFonts w:ascii="Times New Roman" w:eastAsia="Times New Roman" w:hAnsi="Times New Roman" w:cs="Times New Roman"/>
          <w:sz w:val="24"/>
          <w:szCs w:val="24"/>
          <w:lang w:eastAsia="es-ES"/>
        </w:rPr>
        <w:t>. Guilford publications, New York.</w:t>
      </w:r>
    </w:p>
    <w:p w14:paraId="0BD2ADE4" w14:textId="77777777" w:rsidR="00584724" w:rsidRPr="004273E3" w:rsidRDefault="00584724" w:rsidP="00584724">
      <w:pPr>
        <w:widowControl w:val="0"/>
        <w:tabs>
          <w:tab w:val="left" w:pos="7371"/>
        </w:tabs>
        <w:spacing w:before="120" w:after="120" w:line="240" w:lineRule="auto"/>
        <w:rPr>
          <w:rFonts w:ascii="Times New Roman" w:eastAsia="Times New Roman" w:hAnsi="Times New Roman" w:cs="Times New Roman"/>
          <w:sz w:val="24"/>
          <w:szCs w:val="24"/>
          <w:lang w:eastAsia="es-ES"/>
        </w:rPr>
      </w:pPr>
      <w:r w:rsidRPr="004273E3">
        <w:rPr>
          <w:rFonts w:ascii="Times New Roman" w:eastAsia="Times New Roman" w:hAnsi="Times New Roman" w:cs="Times New Roman"/>
          <w:sz w:val="24"/>
          <w:szCs w:val="24"/>
          <w:lang w:eastAsia="es-ES"/>
        </w:rPr>
        <w:t xml:space="preserve">MacCallum, R.C., </w:t>
      </w:r>
      <w:proofErr w:type="spellStart"/>
      <w:r w:rsidRPr="004273E3">
        <w:rPr>
          <w:rFonts w:ascii="Times New Roman" w:eastAsia="Times New Roman" w:hAnsi="Times New Roman" w:cs="Times New Roman"/>
          <w:sz w:val="24"/>
          <w:szCs w:val="24"/>
          <w:lang w:eastAsia="es-ES"/>
        </w:rPr>
        <w:t>Widaman</w:t>
      </w:r>
      <w:proofErr w:type="spellEnd"/>
      <w:r w:rsidRPr="004273E3">
        <w:rPr>
          <w:rFonts w:ascii="Times New Roman" w:eastAsia="Times New Roman" w:hAnsi="Times New Roman" w:cs="Times New Roman"/>
          <w:sz w:val="24"/>
          <w:szCs w:val="24"/>
          <w:lang w:eastAsia="es-ES"/>
        </w:rPr>
        <w:t xml:space="preserve">, K.F., Zhang, S., &amp; Hong, S. (1999). Sample size in factor analysis. </w:t>
      </w:r>
      <w:r w:rsidRPr="00584724">
        <w:rPr>
          <w:rFonts w:ascii="Times New Roman" w:eastAsia="Times New Roman" w:hAnsi="Times New Roman" w:cs="Times New Roman"/>
          <w:i/>
          <w:sz w:val="24"/>
          <w:szCs w:val="24"/>
          <w:lang w:eastAsia="es-ES"/>
        </w:rPr>
        <w:t>Psychological Methods</w:t>
      </w:r>
      <w:r w:rsidRPr="004273E3">
        <w:rPr>
          <w:rFonts w:ascii="Times New Roman" w:eastAsia="Times New Roman" w:hAnsi="Times New Roman" w:cs="Times New Roman"/>
          <w:sz w:val="24"/>
          <w:szCs w:val="24"/>
          <w:lang w:eastAsia="es-ES"/>
        </w:rPr>
        <w:t>, 4(1), 84-99.</w:t>
      </w:r>
      <w:r>
        <w:rPr>
          <w:rFonts w:ascii="Times New Roman" w:eastAsia="Times New Roman" w:hAnsi="Times New Roman" w:cs="Times New Roman"/>
          <w:sz w:val="24"/>
          <w:szCs w:val="24"/>
          <w:lang w:eastAsia="es-ES"/>
        </w:rPr>
        <w:t xml:space="preserve"> </w:t>
      </w:r>
      <w:hyperlink r:id="rId11" w:history="1">
        <w:r w:rsidRPr="004C754E">
          <w:rPr>
            <w:rStyle w:val="Hipervnculo"/>
            <w:rFonts w:ascii="Times New Roman" w:eastAsia="Times New Roman" w:hAnsi="Times New Roman" w:cs="Times New Roman"/>
            <w:sz w:val="24"/>
            <w:szCs w:val="24"/>
            <w:lang w:eastAsia="es-ES"/>
          </w:rPr>
          <w:t>http://dx.doi.org/10.1037/1082989X.4.1.84</w:t>
        </w:r>
      </w:hyperlink>
      <w:r>
        <w:rPr>
          <w:rFonts w:ascii="Times New Roman" w:eastAsia="Times New Roman" w:hAnsi="Times New Roman" w:cs="Times New Roman"/>
          <w:sz w:val="24"/>
          <w:szCs w:val="24"/>
          <w:lang w:eastAsia="es-ES"/>
        </w:rPr>
        <w:t xml:space="preserve"> </w:t>
      </w:r>
    </w:p>
    <w:p w14:paraId="2C65BB8A" w14:textId="77777777" w:rsidR="00584724" w:rsidRPr="004273E3" w:rsidRDefault="00584724" w:rsidP="00584724">
      <w:pPr>
        <w:tabs>
          <w:tab w:val="left" w:pos="7371"/>
        </w:tabs>
        <w:rPr>
          <w:rFonts w:ascii="Times New Roman" w:eastAsia="Times New Roman" w:hAnsi="Times New Roman" w:cs="Times New Roman"/>
          <w:sz w:val="24"/>
          <w:szCs w:val="24"/>
          <w:lang w:eastAsia="es-ES"/>
        </w:rPr>
      </w:pPr>
      <w:r w:rsidRPr="004273E3">
        <w:rPr>
          <w:rFonts w:ascii="Times New Roman" w:eastAsia="Times New Roman" w:hAnsi="Times New Roman" w:cs="Times New Roman"/>
          <w:sz w:val="24"/>
          <w:szCs w:val="24"/>
          <w:lang w:eastAsia="es-ES"/>
        </w:rPr>
        <w:t xml:space="preserve">Podsakoff, P.M., &amp; Organ, D.W. (1986). Self-reports in organizational research: Problems and prospects. </w:t>
      </w:r>
      <w:r w:rsidRPr="004273E3">
        <w:rPr>
          <w:rFonts w:ascii="Times New Roman" w:eastAsia="Times New Roman" w:hAnsi="Times New Roman" w:cs="Times New Roman"/>
          <w:i/>
          <w:iCs/>
          <w:sz w:val="24"/>
          <w:szCs w:val="24"/>
          <w:lang w:eastAsia="es-ES"/>
        </w:rPr>
        <w:t xml:space="preserve">Journal of </w:t>
      </w:r>
      <w:r>
        <w:rPr>
          <w:rFonts w:ascii="Times New Roman" w:eastAsia="Times New Roman" w:hAnsi="Times New Roman" w:cs="Times New Roman"/>
          <w:i/>
          <w:iCs/>
          <w:sz w:val="24"/>
          <w:szCs w:val="24"/>
          <w:lang w:eastAsia="es-ES"/>
        </w:rPr>
        <w:t>M</w:t>
      </w:r>
      <w:r w:rsidRPr="004273E3">
        <w:rPr>
          <w:rFonts w:ascii="Times New Roman" w:eastAsia="Times New Roman" w:hAnsi="Times New Roman" w:cs="Times New Roman"/>
          <w:i/>
          <w:iCs/>
          <w:sz w:val="24"/>
          <w:szCs w:val="24"/>
          <w:lang w:eastAsia="es-ES"/>
        </w:rPr>
        <w:t>anagement, 12</w:t>
      </w:r>
      <w:r w:rsidRPr="004273E3">
        <w:rPr>
          <w:rFonts w:ascii="Times New Roman" w:eastAsia="Times New Roman" w:hAnsi="Times New Roman" w:cs="Times New Roman"/>
          <w:sz w:val="24"/>
          <w:szCs w:val="24"/>
          <w:lang w:eastAsia="es-ES"/>
        </w:rPr>
        <w:t>(4), 531-544.</w:t>
      </w:r>
      <w:r w:rsidRPr="004273E3">
        <w:t xml:space="preserve"> </w:t>
      </w:r>
      <w:hyperlink r:id="rId12" w:history="1">
        <w:r w:rsidRPr="004273E3">
          <w:rPr>
            <w:rStyle w:val="Hipervnculo"/>
            <w:rFonts w:ascii="Times New Roman" w:eastAsia="Times New Roman" w:hAnsi="Times New Roman" w:cs="Times New Roman"/>
            <w:sz w:val="24"/>
            <w:szCs w:val="24"/>
            <w:lang w:eastAsia="es-ES"/>
          </w:rPr>
          <w:t>http://dx.doi.org/10.1177/014920638601200408</w:t>
        </w:r>
      </w:hyperlink>
    </w:p>
    <w:p w14:paraId="55D865B3" w14:textId="77777777" w:rsidR="00584724" w:rsidRPr="004273E3" w:rsidRDefault="00584724" w:rsidP="00584724">
      <w:pPr>
        <w:tabs>
          <w:tab w:val="left" w:pos="7371"/>
        </w:tabs>
        <w:rPr>
          <w:rFonts w:ascii="Times New Roman" w:eastAsia="Times New Roman" w:hAnsi="Times New Roman" w:cs="Times New Roman"/>
          <w:sz w:val="24"/>
          <w:szCs w:val="24"/>
          <w:lang w:eastAsia="es-ES"/>
        </w:rPr>
      </w:pPr>
      <w:r w:rsidRPr="004273E3">
        <w:rPr>
          <w:rFonts w:ascii="Times New Roman" w:eastAsia="Times New Roman" w:hAnsi="Times New Roman" w:cs="Times New Roman"/>
          <w:sz w:val="24"/>
          <w:szCs w:val="24"/>
          <w:lang w:eastAsia="es-ES"/>
        </w:rPr>
        <w:t xml:space="preserve">Podsakoff, P.M., </w:t>
      </w:r>
      <w:proofErr w:type="spellStart"/>
      <w:r w:rsidRPr="004273E3">
        <w:rPr>
          <w:rFonts w:ascii="Times New Roman" w:eastAsia="Times New Roman" w:hAnsi="Times New Roman" w:cs="Times New Roman"/>
          <w:sz w:val="24"/>
          <w:szCs w:val="24"/>
          <w:lang w:eastAsia="es-ES"/>
        </w:rPr>
        <w:t>MacKenzie</w:t>
      </w:r>
      <w:proofErr w:type="spellEnd"/>
      <w:r w:rsidRPr="004273E3">
        <w:rPr>
          <w:rFonts w:ascii="Times New Roman" w:eastAsia="Times New Roman" w:hAnsi="Times New Roman" w:cs="Times New Roman"/>
          <w:sz w:val="24"/>
          <w:szCs w:val="24"/>
          <w:lang w:eastAsia="es-ES"/>
        </w:rPr>
        <w:t xml:space="preserve">, S.B., &amp; Podsakoff, N.P. (2012). Sources of method bias in social science research and recommendations on how to control it. </w:t>
      </w:r>
      <w:r>
        <w:rPr>
          <w:rFonts w:ascii="Times New Roman" w:eastAsia="Times New Roman" w:hAnsi="Times New Roman" w:cs="Times New Roman"/>
          <w:i/>
          <w:iCs/>
          <w:sz w:val="24"/>
          <w:szCs w:val="24"/>
          <w:lang w:eastAsia="es-ES"/>
        </w:rPr>
        <w:t>Annual R</w:t>
      </w:r>
      <w:r w:rsidRPr="004273E3">
        <w:rPr>
          <w:rFonts w:ascii="Times New Roman" w:eastAsia="Times New Roman" w:hAnsi="Times New Roman" w:cs="Times New Roman"/>
          <w:i/>
          <w:iCs/>
          <w:sz w:val="24"/>
          <w:szCs w:val="24"/>
          <w:lang w:eastAsia="es-ES"/>
        </w:rPr>
        <w:t xml:space="preserve">eview of </w:t>
      </w:r>
      <w:r>
        <w:rPr>
          <w:rFonts w:ascii="Times New Roman" w:eastAsia="Times New Roman" w:hAnsi="Times New Roman" w:cs="Times New Roman"/>
          <w:i/>
          <w:iCs/>
          <w:sz w:val="24"/>
          <w:szCs w:val="24"/>
          <w:lang w:eastAsia="es-ES"/>
        </w:rPr>
        <w:t>P</w:t>
      </w:r>
      <w:r w:rsidRPr="004273E3">
        <w:rPr>
          <w:rFonts w:ascii="Times New Roman" w:eastAsia="Times New Roman" w:hAnsi="Times New Roman" w:cs="Times New Roman"/>
          <w:i/>
          <w:iCs/>
          <w:sz w:val="24"/>
          <w:szCs w:val="24"/>
          <w:lang w:eastAsia="es-ES"/>
        </w:rPr>
        <w:t>sychology, 63</w:t>
      </w:r>
      <w:r w:rsidRPr="004273E3">
        <w:rPr>
          <w:rFonts w:ascii="Times New Roman" w:eastAsia="Times New Roman" w:hAnsi="Times New Roman" w:cs="Times New Roman"/>
          <w:sz w:val="24"/>
          <w:szCs w:val="24"/>
          <w:lang w:eastAsia="es-ES"/>
        </w:rPr>
        <w:t>, 539-569.</w:t>
      </w:r>
      <w:r w:rsidRPr="004273E3">
        <w:t xml:space="preserve"> </w:t>
      </w:r>
      <w:hyperlink r:id="rId13" w:history="1">
        <w:r w:rsidRPr="004273E3">
          <w:rPr>
            <w:rStyle w:val="Hipervnculo"/>
            <w:rFonts w:ascii="Times New Roman" w:eastAsia="Times New Roman" w:hAnsi="Times New Roman" w:cs="Times New Roman"/>
            <w:sz w:val="24"/>
            <w:szCs w:val="24"/>
            <w:lang w:eastAsia="es-ES"/>
          </w:rPr>
          <w:t>http://dx.doi.org/10.1146/annurev-psych-120710-100452</w:t>
        </w:r>
      </w:hyperlink>
    </w:p>
    <w:p w14:paraId="69C26DF0" w14:textId="77777777" w:rsidR="00584724" w:rsidRPr="00584724" w:rsidRDefault="00584724" w:rsidP="00497A22">
      <w:pPr>
        <w:jc w:val="both"/>
        <w:rPr>
          <w:rFonts w:ascii="Times New Roman" w:hAnsi="Times New Roman" w:cs="Times New Roman"/>
          <w:sz w:val="24"/>
        </w:rPr>
      </w:pPr>
    </w:p>
    <w:p w14:paraId="6300738A" w14:textId="77777777" w:rsidR="00584724" w:rsidRPr="00584724" w:rsidRDefault="00584724" w:rsidP="00497A22">
      <w:pPr>
        <w:jc w:val="both"/>
        <w:rPr>
          <w:rFonts w:ascii="Times New Roman" w:hAnsi="Times New Roman" w:cs="Times New Roman"/>
          <w:sz w:val="24"/>
        </w:rPr>
      </w:pPr>
    </w:p>
    <w:sectPr w:rsidR="00584724" w:rsidRPr="005847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05CD3"/>
    <w:multiLevelType w:val="hybridMultilevel"/>
    <w:tmpl w:val="8048ACCE"/>
    <w:lvl w:ilvl="0" w:tplc="BE7ADEF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22"/>
    <w:rsid w:val="001865F6"/>
    <w:rsid w:val="001F0DCA"/>
    <w:rsid w:val="003F2E34"/>
    <w:rsid w:val="00465503"/>
    <w:rsid w:val="00497A22"/>
    <w:rsid w:val="00584724"/>
    <w:rsid w:val="007A3B46"/>
    <w:rsid w:val="009E25E5"/>
    <w:rsid w:val="00A07FEE"/>
    <w:rsid w:val="00AA6C2D"/>
    <w:rsid w:val="00B839C1"/>
    <w:rsid w:val="00C10BB0"/>
    <w:rsid w:val="00F441D8"/>
    <w:rsid w:val="00FF35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4A7E"/>
  <w15:chartTrackingRefBased/>
  <w15:docId w15:val="{58449FD0-A31E-4DB6-9BFF-38E5D666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7A22"/>
    <w:rPr>
      <w:color w:val="0563C1" w:themeColor="hyperlink"/>
      <w:u w:val="single"/>
    </w:rPr>
  </w:style>
  <w:style w:type="paragraph" w:styleId="Prrafodelista">
    <w:name w:val="List Paragraph"/>
    <w:basedOn w:val="Normal"/>
    <w:uiPriority w:val="34"/>
    <w:qFormat/>
    <w:rsid w:val="00497A22"/>
    <w:pPr>
      <w:ind w:left="720"/>
      <w:contextualSpacing/>
    </w:pPr>
  </w:style>
  <w:style w:type="table" w:styleId="Tablaconcuadrcula">
    <w:name w:val="Table Grid"/>
    <w:basedOn w:val="Tablanormal"/>
    <w:uiPriority w:val="39"/>
    <w:rsid w:val="0049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paid.2008.12.011" TargetMode="External"/><Relationship Id="rId13" Type="http://schemas.openxmlformats.org/officeDocument/2006/relationships/hyperlink" Target="http://dx.doi.org/10.1146/annurev-psych-120710-100452" TargetMode="External"/><Relationship Id="rId3" Type="http://schemas.openxmlformats.org/officeDocument/2006/relationships/styles" Target="styles.xml"/><Relationship Id="rId7" Type="http://schemas.openxmlformats.org/officeDocument/2006/relationships/hyperlink" Target="http://dx.doi.org/10.2307/3150783" TargetMode="External"/><Relationship Id="rId12" Type="http://schemas.openxmlformats.org/officeDocument/2006/relationships/hyperlink" Target="http://dx.doi.org/10.1177/0149206386012004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07/BF02294170" TargetMode="External"/><Relationship Id="rId11" Type="http://schemas.openxmlformats.org/officeDocument/2006/relationships/hyperlink" Target="http://dx.doi.org/10.1037/1082989X.4.1.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16/j.jcps.2009.09.003" TargetMode="External"/><Relationship Id="rId4" Type="http://schemas.openxmlformats.org/officeDocument/2006/relationships/settings" Target="settings.xml"/><Relationship Id="rId9" Type="http://schemas.openxmlformats.org/officeDocument/2006/relationships/hyperlink" Target="http://dx.doi.org/10.1057/jibs.2009.8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3558-4904-4CE7-95F6-1B2FF5B0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2462</Words>
  <Characters>13543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Lopez</dc:creator>
  <cp:keywords/>
  <dc:description/>
  <cp:lastModifiedBy>Teresa Iturgaiz</cp:lastModifiedBy>
  <cp:revision>2</cp:revision>
  <dcterms:created xsi:type="dcterms:W3CDTF">2023-09-05T14:32:00Z</dcterms:created>
  <dcterms:modified xsi:type="dcterms:W3CDTF">2023-09-05T14:32:00Z</dcterms:modified>
</cp:coreProperties>
</file>