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113" w:rsidRPr="00E20DC7" w:rsidRDefault="00331F98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</w:pPr>
      <w:bookmarkStart w:id="0" w:name="_GoBack"/>
      <w:bookmarkEnd w:id="0"/>
      <w:r w:rsidRPr="00E20DC7"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</w:rPr>
        <w:t>Supporting Information</w:t>
      </w:r>
    </w:p>
    <w:p w:rsidR="00813113" w:rsidRPr="00E20DC7" w:rsidRDefault="00331F98" w:rsidP="0001316D">
      <w:pPr>
        <w:suppressLineNumbers/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</w:pPr>
      <w:r w:rsidRPr="00E20DC7">
        <w:rPr>
          <w:rStyle w:val="nfasis"/>
          <w:rFonts w:ascii="Times New Roman" w:hAnsi="Times New Roman" w:cs="Times New Roman"/>
          <w:b/>
          <w:i w:val="0"/>
          <w:color w:val="000000" w:themeColor="text1"/>
          <w:sz w:val="28"/>
          <w:szCs w:val="24"/>
          <w:lang w:val="en"/>
        </w:rPr>
        <w:t>Magnetically</w:t>
      </w:r>
      <w:r w:rsidRPr="00E20DC7">
        <w:rPr>
          <w:rStyle w:val="anchor-text"/>
          <w:rFonts w:ascii="Times New Roman" w:hAnsi="Times New Roman" w:cs="Times New Roman"/>
          <w:b/>
          <w:i/>
          <w:color w:val="000000" w:themeColor="text1"/>
          <w:sz w:val="28"/>
          <w:szCs w:val="24"/>
          <w:lang w:val="en"/>
        </w:rPr>
        <w:t xml:space="preserve"> </w:t>
      </w:r>
      <w:r w:rsidRPr="00E20DC7">
        <w:rPr>
          <w:rStyle w:val="anchor-text"/>
          <w:rFonts w:ascii="Times New Roman" w:hAnsi="Times New Roman" w:cs="Times New Roman"/>
          <w:b/>
          <w:color w:val="000000" w:themeColor="text1"/>
          <w:sz w:val="28"/>
          <w:szCs w:val="24"/>
          <w:lang w:val="en"/>
        </w:rPr>
        <w:t>recyclable</w:t>
      </w:r>
      <w:r w:rsidRPr="00E20DC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TiO</w:t>
      </w:r>
      <w:r w:rsidRPr="00E20DC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vertAlign w:val="subscript"/>
        </w:rPr>
        <w:t>2</w:t>
      </w:r>
      <w:r w:rsidRPr="00E20DC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/</w:t>
      </w:r>
      <w:proofErr w:type="spellStart"/>
      <w:r w:rsidRPr="00E20DC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MXene</w:t>
      </w:r>
      <w:proofErr w:type="spellEnd"/>
      <w:r w:rsidRPr="00E20DC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/MnFe</w:t>
      </w:r>
      <w:r w:rsidRPr="00E20DC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vertAlign w:val="subscript"/>
        </w:rPr>
        <w:t>2</w:t>
      </w:r>
      <w:r w:rsidRPr="00E20DC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O</w:t>
      </w:r>
      <w:r w:rsidRPr="00E20DC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  <w:vertAlign w:val="subscript"/>
        </w:rPr>
        <w:t>4</w:t>
      </w:r>
      <w:r w:rsidRPr="00E20DC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 photocatalyst for enhanced </w:t>
      </w:r>
      <w:proofErr w:type="spellStart"/>
      <w:r w:rsidRPr="00E20DC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peroxymonosulphate</w:t>
      </w:r>
      <w:proofErr w:type="spellEnd"/>
      <w:r w:rsidRPr="00E20DC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 xml:space="preserve">-assisted photocatalytic degradation of carbamazepine </w:t>
      </w:r>
      <w:r w:rsidRPr="00E20DC7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br/>
        <w:t>and ibuprofen under simulated solar light</w:t>
      </w:r>
    </w:p>
    <w:p w:rsidR="00813113" w:rsidRPr="00E20DC7" w:rsidRDefault="00331F98">
      <w:pPr>
        <w:pStyle w:val="docdata"/>
        <w:spacing w:before="0" w:beforeAutospacing="0" w:after="0" w:afterAutospacing="0" w:line="360" w:lineRule="auto"/>
        <w:jc w:val="center"/>
        <w:rPr>
          <w:color w:val="000000" w:themeColor="text1"/>
          <w:lang w:val="en-GB"/>
        </w:rPr>
      </w:pPr>
      <w:r w:rsidRPr="00E20DC7">
        <w:rPr>
          <w:i/>
          <w:iCs/>
          <w:color w:val="000000" w:themeColor="text1"/>
          <w:lang w:val="en-GB"/>
        </w:rPr>
        <w:t>Anna Grzegórska</w:t>
      </w:r>
      <w:r w:rsidRPr="00E20DC7">
        <w:rPr>
          <w:i/>
          <w:iCs/>
          <w:color w:val="000000" w:themeColor="text1"/>
          <w:vertAlign w:val="superscript"/>
          <w:lang w:val="en-GB"/>
        </w:rPr>
        <w:t>1</w:t>
      </w:r>
      <w:r w:rsidRPr="00E20DC7">
        <w:rPr>
          <w:color w:val="000000" w:themeColor="text1"/>
          <w:lang w:val="en-GB"/>
        </w:rPr>
        <w:t>*</w:t>
      </w:r>
      <w:r w:rsidRPr="00E20DC7">
        <w:rPr>
          <w:i/>
          <w:iCs/>
          <w:color w:val="000000" w:themeColor="text1"/>
          <w:lang w:val="en-GB"/>
        </w:rPr>
        <w:t xml:space="preserve">, Joseph </w:t>
      </w:r>
      <w:proofErr w:type="spellStart"/>
      <w:r w:rsidRPr="00E20DC7">
        <w:rPr>
          <w:i/>
          <w:iCs/>
          <w:color w:val="000000" w:themeColor="text1"/>
          <w:lang w:val="en-GB"/>
        </w:rPr>
        <w:t>Chibueze</w:t>
      </w:r>
      <w:proofErr w:type="spellEnd"/>
      <w:r w:rsidRPr="00E20DC7">
        <w:rPr>
          <w:i/>
          <w:iCs/>
          <w:color w:val="000000" w:themeColor="text1"/>
          <w:lang w:val="en-GB"/>
        </w:rPr>
        <w:t xml:space="preserve"> Ofoegbu</w:t>
      </w:r>
      <w:r w:rsidRPr="00E20DC7">
        <w:rPr>
          <w:i/>
          <w:iCs/>
          <w:color w:val="000000" w:themeColor="text1"/>
          <w:vertAlign w:val="superscript"/>
          <w:lang w:val="en-GB"/>
        </w:rPr>
        <w:t>2</w:t>
      </w:r>
      <w:r w:rsidRPr="00E20DC7">
        <w:rPr>
          <w:i/>
          <w:iCs/>
          <w:color w:val="000000" w:themeColor="text1"/>
          <w:lang w:val="en-GB"/>
        </w:rPr>
        <w:t>, Laura Cervera-Gabalda</w:t>
      </w:r>
      <w:r w:rsidRPr="00E20DC7">
        <w:rPr>
          <w:i/>
          <w:iCs/>
          <w:color w:val="000000" w:themeColor="text1"/>
          <w:vertAlign w:val="superscript"/>
          <w:lang w:val="en-GB"/>
        </w:rPr>
        <w:t>3</w:t>
      </w:r>
      <w:r w:rsidRPr="00E20DC7">
        <w:rPr>
          <w:i/>
          <w:iCs/>
          <w:color w:val="000000" w:themeColor="text1"/>
          <w:lang w:val="en-GB"/>
        </w:rPr>
        <w:t>, Cristina Gómez-Polo</w:t>
      </w:r>
      <w:r w:rsidRPr="00E20DC7">
        <w:rPr>
          <w:i/>
          <w:iCs/>
          <w:color w:val="000000" w:themeColor="text1"/>
          <w:vertAlign w:val="superscript"/>
          <w:lang w:val="en-GB"/>
        </w:rPr>
        <w:t>3</w:t>
      </w:r>
      <w:r w:rsidRPr="00E20DC7">
        <w:rPr>
          <w:i/>
          <w:iCs/>
          <w:color w:val="000000" w:themeColor="text1"/>
          <w:lang w:val="en-GB"/>
        </w:rPr>
        <w:t>, Diana Sannino</w:t>
      </w:r>
      <w:r w:rsidRPr="00E20DC7">
        <w:rPr>
          <w:i/>
          <w:iCs/>
          <w:color w:val="000000" w:themeColor="text1"/>
          <w:vertAlign w:val="superscript"/>
          <w:lang w:val="en-GB"/>
        </w:rPr>
        <w:t>2</w:t>
      </w:r>
      <w:r w:rsidRPr="00E20DC7">
        <w:rPr>
          <w:i/>
          <w:iCs/>
          <w:color w:val="000000" w:themeColor="text1"/>
          <w:lang w:val="en-GB"/>
        </w:rPr>
        <w:t>, Anna Zielińska-Jurek</w:t>
      </w:r>
      <w:r w:rsidRPr="00E20DC7">
        <w:rPr>
          <w:i/>
          <w:iCs/>
          <w:color w:val="000000" w:themeColor="text1"/>
          <w:vertAlign w:val="superscript"/>
          <w:lang w:val="en-GB"/>
        </w:rPr>
        <w:t>1</w:t>
      </w:r>
      <w:r w:rsidRPr="00E20DC7">
        <w:rPr>
          <w:color w:val="000000" w:themeColor="text1"/>
          <w:lang w:val="en-GB"/>
        </w:rPr>
        <w:t>*</w:t>
      </w:r>
    </w:p>
    <w:p w:rsidR="00813113" w:rsidRPr="00E20DC7" w:rsidRDefault="008131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480" w:lineRule="auto"/>
        <w:jc w:val="both"/>
        <w:rPr>
          <w:color w:val="000000" w:themeColor="text1"/>
        </w:rPr>
      </w:pPr>
    </w:p>
    <w:p w:rsidR="00813113" w:rsidRPr="00E20DC7" w:rsidRDefault="00331F98" w:rsidP="0001316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4537"/>
          <w:tab w:val="left" w:pos="9073"/>
        </w:tabs>
        <w:spacing w:before="60" w:after="60" w:line="360" w:lineRule="auto"/>
        <w:jc w:val="both"/>
        <w:rPr>
          <w:color w:val="000000" w:themeColor="text1"/>
        </w:rPr>
      </w:pPr>
      <w:r w:rsidRPr="00E20DC7">
        <w:rPr>
          <w:rFonts w:ascii="Times New Roman" w:eastAsia="Times New Roman" w:hAnsi="Times New Roman" w:cs="Times New Roman"/>
          <w:color w:val="000000" w:themeColor="text1"/>
          <w:sz w:val="20"/>
          <w:vertAlign w:val="superscript"/>
        </w:rPr>
        <w:t>1</w:t>
      </w:r>
      <w:r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Department of Process Engineering and Chemical Technology, Faculty of Chemistry, </w:t>
      </w:r>
      <w:proofErr w:type="spellStart"/>
      <w:r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>Gdańsk</w:t>
      </w:r>
      <w:proofErr w:type="spellEnd"/>
      <w:r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University of Technology, G. </w:t>
      </w:r>
      <w:proofErr w:type="spellStart"/>
      <w:r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>Narutowicza</w:t>
      </w:r>
      <w:proofErr w:type="spellEnd"/>
      <w:r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11/12, 80-233 </w:t>
      </w:r>
      <w:proofErr w:type="spellStart"/>
      <w:r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>Gdańsk</w:t>
      </w:r>
      <w:proofErr w:type="spellEnd"/>
      <w:r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>, Poland</w:t>
      </w:r>
    </w:p>
    <w:p w:rsidR="00813113" w:rsidRPr="00E20DC7" w:rsidRDefault="00331F98" w:rsidP="0001316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4537"/>
          <w:tab w:val="left" w:pos="9073"/>
        </w:tabs>
        <w:spacing w:before="60" w:after="60" w:line="360" w:lineRule="auto"/>
        <w:jc w:val="both"/>
        <w:rPr>
          <w:color w:val="000000" w:themeColor="text1"/>
        </w:rPr>
      </w:pPr>
      <w:proofErr w:type="gramStart"/>
      <w:r w:rsidRPr="00E20DC7">
        <w:rPr>
          <w:rFonts w:ascii="Times New Roman" w:eastAsia="Times New Roman" w:hAnsi="Times New Roman" w:cs="Times New Roman"/>
          <w:color w:val="000000" w:themeColor="text1"/>
          <w:sz w:val="20"/>
          <w:vertAlign w:val="superscript"/>
        </w:rPr>
        <w:t xml:space="preserve">2  </w:t>
      </w:r>
      <w:r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>Department</w:t>
      </w:r>
      <w:proofErr w:type="gramEnd"/>
      <w:r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of Industrial Engineering, University of Salerno, via Giovanni Paolo II, 132, 84084 </w:t>
      </w:r>
      <w:proofErr w:type="spellStart"/>
      <w:r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>Fisciano</w:t>
      </w:r>
      <w:proofErr w:type="spellEnd"/>
      <w:r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>, Italy</w:t>
      </w:r>
    </w:p>
    <w:p w:rsidR="00813113" w:rsidRPr="00E20DC7" w:rsidRDefault="00331F98" w:rsidP="0001316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4537"/>
          <w:tab w:val="left" w:pos="9073"/>
        </w:tabs>
        <w:spacing w:before="60" w:after="60" w:line="360" w:lineRule="auto"/>
        <w:jc w:val="both"/>
        <w:rPr>
          <w:color w:val="000000" w:themeColor="text1"/>
        </w:rPr>
      </w:pPr>
      <w:r w:rsidRPr="00E20DC7">
        <w:rPr>
          <w:rFonts w:ascii="Times New Roman" w:eastAsia="Times New Roman" w:hAnsi="Times New Roman" w:cs="Times New Roman"/>
          <w:color w:val="000000" w:themeColor="text1"/>
          <w:sz w:val="20"/>
          <w:vertAlign w:val="superscript"/>
        </w:rPr>
        <w:t>3 </w:t>
      </w:r>
      <w:proofErr w:type="spellStart"/>
      <w:r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>Departamento</w:t>
      </w:r>
      <w:proofErr w:type="spellEnd"/>
      <w:r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de Ciencias-INAMAT</w:t>
      </w:r>
      <w:r w:rsidRPr="00E20DC7">
        <w:rPr>
          <w:rFonts w:ascii="Times New Roman" w:eastAsia="Times New Roman" w:hAnsi="Times New Roman" w:cs="Times New Roman"/>
          <w:color w:val="000000" w:themeColor="text1"/>
          <w:sz w:val="24"/>
          <w:vertAlign w:val="superscript"/>
        </w:rPr>
        <w:t>2</w:t>
      </w:r>
      <w:r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, Universidad </w:t>
      </w:r>
      <w:proofErr w:type="spellStart"/>
      <w:r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>Pública</w:t>
      </w:r>
      <w:proofErr w:type="spellEnd"/>
      <w:r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de Navarra, Campus de </w:t>
      </w:r>
      <w:proofErr w:type="spellStart"/>
      <w:r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>Arrosadia</w:t>
      </w:r>
      <w:proofErr w:type="spellEnd"/>
      <w:r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>, 31006 Pamplona, Spain</w:t>
      </w:r>
    </w:p>
    <w:p w:rsidR="00813113" w:rsidRPr="00E20DC7" w:rsidRDefault="00331F9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4537"/>
          <w:tab w:val="left" w:pos="9073"/>
        </w:tabs>
        <w:spacing w:before="240" w:after="0" w:line="480" w:lineRule="auto"/>
        <w:jc w:val="both"/>
        <w:rPr>
          <w:color w:val="000000" w:themeColor="text1"/>
        </w:rPr>
      </w:pPr>
      <w:r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>* Corresponding authors:</w:t>
      </w:r>
      <w:r w:rsidR="00394211" w:rsidRPr="00E20DC7">
        <w:rPr>
          <w:rFonts w:ascii="Times New Roman" w:eastAsia="Times New Roman" w:hAnsi="Times New Roman" w:cs="Times New Roman"/>
          <w:color w:val="000000" w:themeColor="text1"/>
          <w:sz w:val="24"/>
        </w:rPr>
        <w:t xml:space="preserve"> </w:t>
      </w:r>
      <w:r w:rsidR="00394211" w:rsidRPr="00E20DC7">
        <w:rPr>
          <w:rFonts w:ascii="Times New Roman" w:eastAsia="Times New Roman" w:hAnsi="Times New Roman" w:cs="Times New Roman"/>
          <w:i/>
          <w:color w:val="000000" w:themeColor="text1"/>
          <w:sz w:val="24"/>
        </w:rPr>
        <w:t>annjurek@pg.edu.pl</w:t>
      </w:r>
      <w:r w:rsidRPr="00E20DC7">
        <w:rPr>
          <w:rFonts w:ascii="Times New Roman" w:eastAsia="Times New Roman" w:hAnsi="Times New Roman" w:cs="Times New Roman"/>
          <w:i/>
          <w:color w:val="000000" w:themeColor="text1"/>
          <w:sz w:val="24"/>
        </w:rPr>
        <w:t xml:space="preserve">, </w:t>
      </w:r>
      <w:hyperlink r:id="rId11" w:tooltip="mailto:anna.grzegorska@pg.edu.pl" w:history="1">
        <w:r w:rsidRPr="00E20DC7">
          <w:rPr>
            <w:rStyle w:val="Hipervnculo"/>
            <w:rFonts w:ascii="Times New Roman" w:eastAsia="Times New Roman" w:hAnsi="Times New Roman" w:cs="Times New Roman"/>
            <w:i/>
            <w:color w:val="000000" w:themeColor="text1"/>
            <w:sz w:val="24"/>
            <w:u w:val="none"/>
          </w:rPr>
          <w:t>anna.grzegorska@pg.edu.pl</w:t>
        </w:r>
      </w:hyperlink>
    </w:p>
    <w:p w:rsidR="00813113" w:rsidRPr="00E20DC7" w:rsidRDefault="00331F98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77"/>
        </w:tabs>
        <w:spacing w:after="0" w:line="480" w:lineRule="auto"/>
        <w:ind w:left="425" w:hanging="425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E20DC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Results and discussion</w:t>
      </w:r>
    </w:p>
    <w:p w:rsidR="00813113" w:rsidRPr="00E20DC7" w:rsidRDefault="00331F98">
      <w:pPr>
        <w:tabs>
          <w:tab w:val="left" w:pos="977"/>
        </w:tabs>
        <w:spacing w:after="0" w:line="480" w:lineRule="auto"/>
        <w:jc w:val="both"/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</w:rPr>
      </w:pPr>
      <w:r w:rsidRPr="00E20DC7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3.1 Characterization of 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highlight w:val="white"/>
        </w:rPr>
        <w:t>MnFe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highlight w:val="white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highlight w:val="white"/>
        </w:rPr>
        <w:t>O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highlight w:val="white"/>
          <w:vertAlign w:val="subscript"/>
        </w:rPr>
        <w:t>4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highlight w:val="white"/>
        </w:rPr>
        <w:t xml:space="preserve">, 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</w:rPr>
        <w:t>TiO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</w:rPr>
        <w:t>/Ti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vertAlign w:val="subscript"/>
        </w:rPr>
        <w:t>3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</w:rPr>
        <w:t>C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</w:rPr>
        <w:t xml:space="preserve"> and TiO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</w:rPr>
        <w:t>/Ti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vertAlign w:val="subscript"/>
        </w:rPr>
        <w:t>3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</w:rPr>
        <w:t>C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</w:rPr>
        <w:t>/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highlight w:val="white"/>
        </w:rPr>
        <w:t>MnFe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highlight w:val="white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highlight w:val="white"/>
        </w:rPr>
        <w:t>O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  <w:highlight w:val="white"/>
          <w:vertAlign w:val="subscript"/>
        </w:rPr>
        <w:t>4</w:t>
      </w:r>
      <w:r w:rsidRPr="00E20DC7">
        <w:rPr>
          <w:rFonts w:ascii="Times New Roman" w:eastAsiaTheme="minorHAnsi" w:hAnsi="Times New Roman" w:cs="Times New Roman"/>
          <w:i/>
          <w:color w:val="000000" w:themeColor="text1"/>
          <w:sz w:val="24"/>
          <w:szCs w:val="24"/>
        </w:rPr>
        <w:t xml:space="preserve"> photocatalysts</w:t>
      </w:r>
    </w:p>
    <w:p w:rsidR="00813113" w:rsidRPr="00E20DC7" w:rsidRDefault="00331F98">
      <w:pPr>
        <w:tabs>
          <w:tab w:val="left" w:pos="977"/>
        </w:tabs>
        <w:spacing w:after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white"/>
        </w:rPr>
      </w:pPr>
      <w:r w:rsidRPr="00E20DC7">
        <w:rPr>
          <w:rFonts w:ascii="Times New Roman" w:eastAsiaTheme="minorHAnsi" w:hAnsi="Times New Roman" w:cs="Times New Roman"/>
          <w:b/>
          <w:color w:val="000000" w:themeColor="text1"/>
          <w:sz w:val="24"/>
          <w:szCs w:val="24"/>
        </w:rPr>
        <w:t>Table S1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. ICP-OES measurements for </w:t>
      </w:r>
      <w:proofErr w:type="gramStart"/>
      <w:r w:rsidRPr="00E20DC7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the 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 xml:space="preserve"> TiO</w:t>
      </w:r>
      <w:proofErr w:type="gramEnd"/>
      <w:r w:rsidRPr="00E20DC7">
        <w:rPr>
          <w:rFonts w:ascii="Times New Roman" w:eastAsiaTheme="minorHAnsi" w:hAnsi="Times New Roman" w:cs="Times New Roman"/>
          <w:color w:val="000000" w:themeColor="text1"/>
          <w:sz w:val="24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>/Ti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vertAlign w:val="subscript"/>
        </w:rPr>
        <w:t>3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>C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>/5%MnFe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>O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vertAlign w:val="subscript"/>
        </w:rPr>
        <w:t>4</w:t>
      </w:r>
      <w:r w:rsidR="00394211"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>.</w:t>
      </w:r>
    </w:p>
    <w:tbl>
      <w:tblPr>
        <w:tblStyle w:val="Tablanormal2"/>
        <w:tblW w:w="0" w:type="auto"/>
        <w:jc w:val="center"/>
        <w:tblLook w:val="04A0" w:firstRow="1" w:lastRow="0" w:firstColumn="1" w:lastColumn="0" w:noHBand="0" w:noVBand="1"/>
      </w:tblPr>
      <w:tblGrid>
        <w:gridCol w:w="3124"/>
        <w:gridCol w:w="3110"/>
      </w:tblGrid>
      <w:tr w:rsidR="00E20DC7" w:rsidRPr="00E20DC7" w:rsidTr="00801E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4" w:type="dxa"/>
          </w:tcPr>
          <w:p w:rsidR="00813113" w:rsidRPr="00E20DC7" w:rsidRDefault="00331F9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</w:rPr>
              <w:t>Element</w:t>
            </w:r>
          </w:p>
        </w:tc>
        <w:tc>
          <w:tcPr>
            <w:tcW w:w="3110" w:type="dxa"/>
          </w:tcPr>
          <w:p w:rsidR="00813113" w:rsidRPr="00E20DC7" w:rsidRDefault="00331F98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</w:rPr>
              <w:t>Content (</w:t>
            </w:r>
            <w:proofErr w:type="spellStart"/>
            <w:r w:rsidRPr="00E20DC7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</w:rPr>
              <w:t>wt</w:t>
            </w:r>
            <w:proofErr w:type="spellEnd"/>
            <w:r w:rsidRPr="00E20DC7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</w:rPr>
              <w:t>%)</w:t>
            </w:r>
          </w:p>
        </w:tc>
      </w:tr>
      <w:tr w:rsidR="00E20DC7" w:rsidRPr="00E20DC7" w:rsidTr="00801E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4" w:type="dxa"/>
          </w:tcPr>
          <w:p w:rsidR="00813113" w:rsidRPr="00E20DC7" w:rsidRDefault="00331F9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E20DC7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</w:rPr>
              <w:t>Ti</w:t>
            </w:r>
            <w:proofErr w:type="spellEnd"/>
          </w:p>
        </w:tc>
        <w:tc>
          <w:tcPr>
            <w:tcW w:w="3110" w:type="dxa"/>
          </w:tcPr>
          <w:p w:rsidR="00813113" w:rsidRPr="00E20DC7" w:rsidRDefault="00331F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33.9930</w:t>
            </w:r>
            <w:r w:rsidRPr="00E20DC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highlight w:val="white"/>
              </w:rPr>
              <w:t>±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2.0554</w:t>
            </w:r>
          </w:p>
        </w:tc>
      </w:tr>
      <w:tr w:rsidR="00E20DC7" w:rsidRPr="00E20DC7" w:rsidTr="00801E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4" w:type="dxa"/>
          </w:tcPr>
          <w:p w:rsidR="00813113" w:rsidRPr="00E20DC7" w:rsidRDefault="00331F9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</w:rPr>
              <w:t>Mn</w:t>
            </w:r>
          </w:p>
        </w:tc>
        <w:tc>
          <w:tcPr>
            <w:tcW w:w="3110" w:type="dxa"/>
          </w:tcPr>
          <w:p w:rsidR="00813113" w:rsidRPr="00E20DC7" w:rsidRDefault="00331F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0.9436</w:t>
            </w:r>
            <w:r w:rsidRPr="00E20DC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highlight w:val="white"/>
              </w:rPr>
              <w:t>±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0.0632</w:t>
            </w:r>
          </w:p>
        </w:tc>
      </w:tr>
      <w:tr w:rsidR="00E20DC7" w:rsidRPr="00E20DC7" w:rsidTr="00801ED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4" w:type="dxa"/>
          </w:tcPr>
          <w:p w:rsidR="00813113" w:rsidRPr="00E20DC7" w:rsidRDefault="00331F9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b w:val="0"/>
                <w:color w:val="000000" w:themeColor="text1"/>
                <w:sz w:val="24"/>
              </w:rPr>
              <w:t>Fe</w:t>
            </w:r>
          </w:p>
        </w:tc>
        <w:tc>
          <w:tcPr>
            <w:tcW w:w="3110" w:type="dxa"/>
          </w:tcPr>
          <w:p w:rsidR="00813113" w:rsidRPr="00E20DC7" w:rsidRDefault="00331F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2.0062</w:t>
            </w:r>
            <w:r w:rsidRPr="00E20DC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highlight w:val="white"/>
              </w:rPr>
              <w:t>±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0.1147</w:t>
            </w:r>
          </w:p>
        </w:tc>
      </w:tr>
    </w:tbl>
    <w:p w:rsidR="00813113" w:rsidRPr="00E20DC7" w:rsidRDefault="00813113">
      <w:pPr>
        <w:tabs>
          <w:tab w:val="left" w:pos="977"/>
        </w:tabs>
        <w:spacing w:after="0" w:line="48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highlight w:val="white"/>
        </w:rPr>
      </w:pPr>
    </w:p>
    <w:p w:rsidR="00813113" w:rsidRPr="00E20DC7" w:rsidRDefault="00331F98">
      <w:pPr>
        <w:tabs>
          <w:tab w:val="left" w:pos="977"/>
        </w:tabs>
        <w:spacing w:after="0" w:line="480" w:lineRule="auto"/>
        <w:rPr>
          <w:color w:val="000000" w:themeColor="text1"/>
        </w:rPr>
      </w:pPr>
      <w:r w:rsidRPr="00E20DC7">
        <w:rPr>
          <w:rFonts w:eastAsiaTheme="minorHAnsi"/>
          <w:noProof/>
          <w:color w:val="000000" w:themeColor="text1"/>
        </w:rPr>
        <w:lastRenderedPageBreak/>
        <mc:AlternateContent>
          <mc:Choice Requires="wpg">
            <w:drawing>
              <wp:inline distT="0" distB="0" distL="0" distR="0">
                <wp:extent cx="5423195" cy="2304320"/>
                <wp:effectExtent l="0" t="0" r="0" b="0"/>
                <wp:docPr id="1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121762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l="5263" t="58786"/>
                        <a:stretch/>
                      </pic:blipFill>
                      <pic:spPr bwMode="auto">
                        <a:xfrm>
                          <a:off x="0" y="0"/>
                          <a:ext cx="5423193" cy="2304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27.0pt;height:181.4pt;" stroked="false">
                <v:path textboxrect="0,0,0,0"/>
                <v:imagedata r:id="rId15" o:title=""/>
              </v:shape>
            </w:pict>
          </mc:Fallback>
        </mc:AlternateContent>
      </w:r>
    </w:p>
    <w:p w:rsidR="00813113" w:rsidRPr="00E20DC7" w:rsidRDefault="00331F9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40" w:line="85" w:lineRule="atLeast"/>
        <w:jc w:val="center"/>
        <w:rPr>
          <w:color w:val="000000" w:themeColor="text1"/>
        </w:rPr>
      </w:pPr>
      <w:r w:rsidRPr="00E20DC7">
        <w:rPr>
          <w:rFonts w:ascii="Times New Roman" w:eastAsiaTheme="minorHAnsi" w:hAnsi="Times New Roman" w:cs="Times New Roman"/>
          <w:b/>
          <w:color w:val="000000" w:themeColor="text1"/>
          <w:sz w:val="24"/>
        </w:rPr>
        <w:t xml:space="preserve">Figure S1. 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>SEM area EDS spectrum with atomic and weight percentage of elements</w:t>
      </w:r>
      <w:r w:rsidR="00394211"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>.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 xml:space="preserve"> </w:t>
      </w:r>
    </w:p>
    <w:p w:rsidR="00813113" w:rsidRPr="00E20DC7" w:rsidRDefault="00331F98">
      <w:pPr>
        <w:tabs>
          <w:tab w:val="left" w:pos="977"/>
        </w:tabs>
        <w:spacing w:after="0" w:line="480" w:lineRule="auto"/>
        <w:jc w:val="center"/>
        <w:rPr>
          <w:color w:val="000000" w:themeColor="text1"/>
        </w:rPr>
      </w:pPr>
      <w:r w:rsidRPr="00E20DC7">
        <w:rPr>
          <w:rFonts w:eastAsiaTheme="minorHAnsi"/>
          <w:noProof/>
          <w:color w:val="000000" w:themeColor="text1"/>
        </w:rPr>
        <mc:AlternateContent>
          <mc:Choice Requires="wpg">
            <w:drawing>
              <wp:inline distT="0" distB="0" distL="0" distR="0">
                <wp:extent cx="4320000" cy="359640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0774321" name="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4320000" cy="359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40.2pt;height:283.2pt;rotation:0;" stroked="false">
                <v:path textboxrect="0,0,0,0"/>
                <v:imagedata r:id="rId17" o:title=""/>
              </v:shape>
            </w:pict>
          </mc:Fallback>
        </mc:AlternateContent>
      </w:r>
    </w:p>
    <w:p w:rsidR="00813113" w:rsidRPr="00E20DC7" w:rsidRDefault="00331F98">
      <w:pPr>
        <w:tabs>
          <w:tab w:val="left" w:pos="977"/>
        </w:tabs>
        <w:spacing w:after="0" w:line="480" w:lineRule="auto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E20DC7">
        <w:rPr>
          <w:rFonts w:ascii="Times New Roman" w:eastAsiaTheme="minorHAnsi" w:hAnsi="Times New Roman" w:cs="Times New Roman"/>
          <w:b/>
          <w:color w:val="000000" w:themeColor="text1"/>
          <w:sz w:val="24"/>
        </w:rPr>
        <w:t>Figure S2.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 xml:space="preserve"> Survey XPS spectra for TiO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>/Ti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vertAlign w:val="subscript"/>
        </w:rPr>
        <w:t>3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>C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 xml:space="preserve"> composite</w:t>
      </w:r>
      <w:r w:rsidR="00394211"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>.</w:t>
      </w:r>
    </w:p>
    <w:p w:rsidR="00813113" w:rsidRPr="00E20DC7" w:rsidRDefault="00813113">
      <w:pPr>
        <w:tabs>
          <w:tab w:val="left" w:pos="977"/>
        </w:tabs>
        <w:spacing w:after="0" w:line="48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highlight w:val="white"/>
        </w:rPr>
      </w:pPr>
    </w:p>
    <w:p w:rsidR="00813113" w:rsidRPr="00E20DC7" w:rsidRDefault="00331F98">
      <w:pPr>
        <w:pStyle w:val="NormalWeb"/>
        <w:spacing w:before="0" w:beforeAutospacing="0" w:after="0" w:afterAutospacing="0" w:line="480" w:lineRule="auto"/>
        <w:jc w:val="center"/>
        <w:rPr>
          <w:color w:val="000000" w:themeColor="text1"/>
        </w:rPr>
      </w:pPr>
      <w:r w:rsidRPr="00E20DC7">
        <w:rPr>
          <w:rFonts w:eastAsiaTheme="minorHAnsi"/>
          <w:noProof/>
          <w:color w:val="000000" w:themeColor="text1"/>
        </w:rPr>
        <w:lastRenderedPageBreak/>
        <mc:AlternateContent>
          <mc:Choice Requires="wpg">
            <w:drawing>
              <wp:inline distT="0" distB="0" distL="0" distR="0">
                <wp:extent cx="5400000" cy="2127600"/>
                <wp:effectExtent l="0" t="0" r="0" b="0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5430152" name="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400000" cy="212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25.2pt;height:167.5pt;" stroked="false">
                <v:path textboxrect="0,0,0,0"/>
                <v:imagedata r:id="rId19" o:title=""/>
              </v:shape>
            </w:pict>
          </mc:Fallback>
        </mc:AlternateContent>
      </w:r>
    </w:p>
    <w:p w:rsidR="00813113" w:rsidRPr="00E20DC7" w:rsidRDefault="00331F98" w:rsidP="00394211">
      <w:pPr>
        <w:pStyle w:val="NormalWeb"/>
        <w:spacing w:before="0" w:beforeAutospacing="0" w:after="240" w:afterAutospacing="0" w:line="360" w:lineRule="auto"/>
        <w:jc w:val="center"/>
        <w:rPr>
          <w:color w:val="000000" w:themeColor="text1"/>
          <w:lang w:val="en-GB"/>
        </w:rPr>
      </w:pPr>
      <w:r w:rsidRPr="00E20DC7">
        <w:rPr>
          <w:rFonts w:eastAsiaTheme="minorHAnsi"/>
          <w:b/>
          <w:color w:val="000000" w:themeColor="text1"/>
          <w:lang w:val="en-GB"/>
        </w:rPr>
        <w:t xml:space="preserve">Figure S3. </w:t>
      </w:r>
      <w:r w:rsidRPr="00E20DC7">
        <w:rPr>
          <w:rFonts w:eastAsiaTheme="minorHAnsi"/>
          <w:color w:val="000000" w:themeColor="text1"/>
          <w:lang w:val="en-GB"/>
        </w:rPr>
        <w:t xml:space="preserve">The band gap determination from </w:t>
      </w:r>
      <w:proofErr w:type="spellStart"/>
      <w:r w:rsidRPr="00E20DC7">
        <w:rPr>
          <w:rFonts w:eastAsiaTheme="minorHAnsi"/>
          <w:color w:val="000000" w:themeColor="text1"/>
          <w:lang w:val="en-GB"/>
        </w:rPr>
        <w:t>Kubelka</w:t>
      </w:r>
      <w:proofErr w:type="spellEnd"/>
      <w:r w:rsidRPr="00E20DC7">
        <w:rPr>
          <w:rFonts w:eastAsiaTheme="minorHAnsi"/>
          <w:color w:val="000000" w:themeColor="text1"/>
          <w:lang w:val="en-GB"/>
        </w:rPr>
        <w:t xml:space="preserve"> Munk function for various photocatalysts.</w:t>
      </w:r>
    </w:p>
    <w:p w:rsidR="00813113" w:rsidRPr="00E20DC7" w:rsidRDefault="00331F9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40" w:line="85" w:lineRule="atLeast"/>
        <w:jc w:val="center"/>
        <w:rPr>
          <w:color w:val="000000" w:themeColor="text1"/>
        </w:rPr>
      </w:pPr>
      <w:r w:rsidRPr="00E20DC7">
        <w:rPr>
          <w:rFonts w:eastAsiaTheme="minorHAnsi"/>
          <w:noProof/>
          <w:color w:val="000000" w:themeColor="text1"/>
        </w:rPr>
        <mc:AlternateContent>
          <mc:Choice Requires="wpg">
            <w:drawing>
              <wp:inline distT="0" distB="0" distL="0" distR="0">
                <wp:extent cx="5400000" cy="3578400"/>
                <wp:effectExtent l="0" t="0" r="0" b="0"/>
                <wp:docPr id="4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7770645" name="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400000" cy="357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25.2pt;height:281.8pt;" stroked="false">
                <v:path textboxrect="0,0,0,0"/>
                <v:imagedata r:id="rId21" o:title=""/>
              </v:shape>
            </w:pict>
          </mc:Fallback>
        </mc:AlternateContent>
      </w:r>
    </w:p>
    <w:p w:rsidR="00813113" w:rsidRPr="00E20DC7" w:rsidRDefault="00331F98" w:rsidP="0001316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40" w:line="360" w:lineRule="auto"/>
        <w:jc w:val="center"/>
        <w:rPr>
          <w:color w:val="000000" w:themeColor="text1"/>
        </w:rPr>
      </w:pPr>
      <w:r w:rsidRPr="00E20DC7">
        <w:rPr>
          <w:rFonts w:ascii="Times New Roman" w:eastAsiaTheme="minorHAnsi" w:hAnsi="Times New Roman" w:cs="Times New Roman"/>
          <w:b/>
          <w:color w:val="000000" w:themeColor="text1"/>
          <w:sz w:val="24"/>
        </w:rPr>
        <w:t xml:space="preserve">Figure S4. </w:t>
      </w:r>
      <w:bookmarkStart w:id="1" w:name="_Hlk140698795"/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 xml:space="preserve">HAADF-STEM image and STEM-EDS elemental mapping </w:t>
      </w:r>
      <w:bookmarkEnd w:id="1"/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 xml:space="preserve">of 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TiO</w:t>
      </w:r>
      <w:r w:rsidRPr="00E20DC7">
        <w:rPr>
          <w:rFonts w:ascii="Times New Roman" w:eastAsiaTheme="minorHAnsi" w:hAnsi="Times New Roman" w:cs="Times New Roman"/>
          <w:color w:val="000000" w:themeColor="text1"/>
          <w:sz w:val="20"/>
          <w:highlight w:val="white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/Ti</w:t>
      </w:r>
      <w:r w:rsidRPr="00E20DC7">
        <w:rPr>
          <w:rFonts w:ascii="Times New Roman" w:eastAsiaTheme="minorHAnsi" w:hAnsi="Times New Roman" w:cs="Times New Roman"/>
          <w:color w:val="000000" w:themeColor="text1"/>
          <w:sz w:val="20"/>
          <w:highlight w:val="white"/>
          <w:vertAlign w:val="subscript"/>
        </w:rPr>
        <w:t>3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C</w:t>
      </w:r>
      <w:r w:rsidRPr="00E20DC7">
        <w:rPr>
          <w:rFonts w:ascii="Times New Roman" w:eastAsiaTheme="minorHAnsi" w:hAnsi="Times New Roman" w:cs="Times New Roman"/>
          <w:color w:val="000000" w:themeColor="text1"/>
          <w:sz w:val="20"/>
          <w:highlight w:val="white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/5%MnFe</w:t>
      </w:r>
      <w:r w:rsidRPr="00E20DC7">
        <w:rPr>
          <w:rFonts w:ascii="Times New Roman" w:eastAsiaTheme="minorHAnsi" w:hAnsi="Times New Roman" w:cs="Times New Roman"/>
          <w:color w:val="000000" w:themeColor="text1"/>
          <w:sz w:val="20"/>
          <w:highlight w:val="white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O</w:t>
      </w:r>
      <w:r w:rsidRPr="00E20DC7">
        <w:rPr>
          <w:rFonts w:ascii="Times New Roman" w:eastAsiaTheme="minorHAnsi" w:hAnsi="Times New Roman" w:cs="Times New Roman"/>
          <w:color w:val="000000" w:themeColor="text1"/>
          <w:sz w:val="20"/>
          <w:highlight w:val="white"/>
          <w:vertAlign w:val="subscript"/>
        </w:rPr>
        <w:t>4</w:t>
      </w:r>
      <w:r w:rsidR="00394211" w:rsidRPr="00E20DC7">
        <w:rPr>
          <w:rFonts w:ascii="Times New Roman" w:eastAsiaTheme="minorHAnsi" w:hAnsi="Times New Roman" w:cs="Times New Roman"/>
          <w:color w:val="000000" w:themeColor="text1"/>
          <w:sz w:val="20"/>
          <w:highlight w:val="white"/>
        </w:rPr>
        <w:t>.</w:t>
      </w:r>
    </w:p>
    <w:p w:rsidR="00813113" w:rsidRPr="00E20DC7" w:rsidRDefault="008131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40" w:line="85" w:lineRule="atLeast"/>
        <w:jc w:val="center"/>
        <w:rPr>
          <w:color w:val="000000" w:themeColor="text1"/>
        </w:rPr>
      </w:pPr>
    </w:p>
    <w:p w:rsidR="00813113" w:rsidRPr="00E20DC7" w:rsidRDefault="008131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40" w:line="85" w:lineRule="atLeast"/>
        <w:jc w:val="center"/>
        <w:rPr>
          <w:color w:val="000000" w:themeColor="text1"/>
        </w:rPr>
      </w:pPr>
    </w:p>
    <w:p w:rsidR="00813113" w:rsidRPr="00E20DC7" w:rsidRDefault="008131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40" w:line="85" w:lineRule="atLeast"/>
        <w:jc w:val="center"/>
        <w:rPr>
          <w:color w:val="000000" w:themeColor="text1"/>
        </w:rPr>
      </w:pPr>
    </w:p>
    <w:p w:rsidR="00813113" w:rsidRPr="00E20DC7" w:rsidRDefault="00331F9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40" w:line="85" w:lineRule="atLeast"/>
        <w:jc w:val="center"/>
        <w:rPr>
          <w:color w:val="000000" w:themeColor="text1"/>
        </w:rPr>
      </w:pPr>
      <w:r w:rsidRPr="00E20DC7">
        <w:rPr>
          <w:rFonts w:eastAsiaTheme="minorHAnsi"/>
          <w:noProof/>
          <w:color w:val="000000" w:themeColor="text1"/>
        </w:rPr>
        <w:lastRenderedPageBreak/>
        <mc:AlternateContent>
          <mc:Choice Requires="wpg">
            <w:drawing>
              <wp:inline distT="0" distB="0" distL="0" distR="0">
                <wp:extent cx="5400000" cy="4309200"/>
                <wp:effectExtent l="0" t="0" r="0" b="0"/>
                <wp:docPr id="5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9686647" name="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400000" cy="430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25.2pt;height:339.3pt;" stroked="false">
                <v:path textboxrect="0,0,0,0"/>
                <v:imagedata r:id="rId23" o:title=""/>
              </v:shape>
            </w:pict>
          </mc:Fallback>
        </mc:AlternateContent>
      </w:r>
    </w:p>
    <w:p w:rsidR="00813113" w:rsidRPr="00E20DC7" w:rsidRDefault="00331F98" w:rsidP="0001316D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4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</w:rPr>
      </w:pPr>
      <w:r w:rsidRPr="00E20DC7">
        <w:rPr>
          <w:rFonts w:ascii="Times New Roman" w:eastAsiaTheme="minorHAnsi" w:hAnsi="Times New Roman" w:cs="Times New Roman"/>
          <w:b/>
          <w:color w:val="000000" w:themeColor="text1"/>
          <w:sz w:val="24"/>
        </w:rPr>
        <w:t>Figure S5.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 xml:space="preserve"> The Gaussian fitting and deconvolution of PL spectra of the 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TiO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/Ti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  <w:vertAlign w:val="subscript"/>
        </w:rPr>
        <w:t>3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C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 xml:space="preserve"> (a), MnFe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O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  <w:vertAlign w:val="subscript"/>
        </w:rPr>
        <w:t>4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 xml:space="preserve"> (b), and 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TiO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/Ti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  <w:vertAlign w:val="subscript"/>
        </w:rPr>
        <w:t>3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C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/20%MnFe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O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  <w:vertAlign w:val="subscript"/>
        </w:rPr>
        <w:t>4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 xml:space="preserve"> (c)</w:t>
      </w:r>
    </w:p>
    <w:p w:rsidR="00813113" w:rsidRPr="00E20DC7" w:rsidRDefault="008131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40" w:line="85" w:lineRule="atLeast"/>
        <w:jc w:val="center"/>
        <w:rPr>
          <w:color w:val="000000" w:themeColor="text1"/>
          <w:sz w:val="24"/>
        </w:rPr>
      </w:pPr>
    </w:p>
    <w:p w:rsidR="00813113" w:rsidRPr="00E20DC7" w:rsidRDefault="008131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40" w:line="85" w:lineRule="atLeast"/>
        <w:rPr>
          <w:color w:val="000000" w:themeColor="text1"/>
        </w:rPr>
      </w:pPr>
    </w:p>
    <w:p w:rsidR="00813113" w:rsidRPr="00E20DC7" w:rsidRDefault="00331F9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85" w:lineRule="atLeast"/>
        <w:jc w:val="center"/>
        <w:rPr>
          <w:color w:val="000000" w:themeColor="text1"/>
        </w:rPr>
      </w:pPr>
      <w:r w:rsidRPr="00E20DC7">
        <w:rPr>
          <w:rFonts w:eastAsiaTheme="minorHAnsi"/>
          <w:noProof/>
          <w:color w:val="000000" w:themeColor="text1"/>
        </w:rPr>
        <w:lastRenderedPageBreak/>
        <mc:AlternateContent>
          <mc:Choice Requires="wpg">
            <w:drawing>
              <wp:inline distT="0" distB="0" distL="0" distR="0">
                <wp:extent cx="4320000" cy="3322800"/>
                <wp:effectExtent l="0" t="0" r="0" b="0"/>
                <wp:docPr id="6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74020644" name="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320000" cy="332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340.2pt;height:261.6pt;" stroked="false">
                <v:path textboxrect="0,0,0,0"/>
                <v:imagedata r:id="rId25" o:title=""/>
              </v:shape>
            </w:pict>
          </mc:Fallback>
        </mc:AlternateContent>
      </w:r>
    </w:p>
    <w:p w:rsidR="00813113" w:rsidRPr="00E20DC7" w:rsidRDefault="00331F9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40" w:line="85" w:lineRule="atLeast"/>
        <w:jc w:val="center"/>
        <w:rPr>
          <w:rFonts w:ascii="Times New Roman" w:eastAsia="Times New Roman" w:hAnsi="Times New Roman" w:cs="Times New Roman"/>
          <w:color w:val="000000" w:themeColor="text1"/>
        </w:rPr>
      </w:pPr>
      <w:r w:rsidRPr="00E20DC7">
        <w:rPr>
          <w:rFonts w:ascii="Times New Roman" w:eastAsiaTheme="minorHAnsi" w:hAnsi="Times New Roman" w:cs="Times New Roman"/>
          <w:b/>
          <w:color w:val="000000" w:themeColor="text1"/>
          <w:sz w:val="24"/>
        </w:rPr>
        <w:t xml:space="preserve">Figure S6. 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>CBZ and IBP adsorption (dark reaction) for prepared materials</w:t>
      </w:r>
      <w:r w:rsidR="00394211"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>.</w:t>
      </w:r>
    </w:p>
    <w:p w:rsidR="00813113" w:rsidRPr="00E20DC7" w:rsidRDefault="0081311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240" w:line="85" w:lineRule="atLeast"/>
        <w:jc w:val="center"/>
        <w:rPr>
          <w:color w:val="000000" w:themeColor="text1"/>
        </w:rPr>
      </w:pPr>
    </w:p>
    <w:p w:rsidR="00813113" w:rsidRPr="00E20DC7" w:rsidRDefault="00331F9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line="113" w:lineRule="atLeast"/>
        <w:rPr>
          <w:color w:val="000000" w:themeColor="text1"/>
        </w:rPr>
      </w:pPr>
      <w:r w:rsidRPr="00E20DC7">
        <w:rPr>
          <w:rFonts w:ascii="Times New Roman" w:eastAsiaTheme="minorHAnsi" w:hAnsi="Times New Roman" w:cs="Times New Roman"/>
          <w:b/>
          <w:color w:val="000000" w:themeColor="text1"/>
          <w:sz w:val="24"/>
        </w:rPr>
        <w:t>Table S2.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 xml:space="preserve"> The rate constant of CBZ and IBP degradation in the CBZ/IBU mixture for selected processes</w:t>
      </w:r>
      <w:r w:rsidR="00394211"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>.</w:t>
      </w:r>
    </w:p>
    <w:tbl>
      <w:tblPr>
        <w:tblStyle w:val="Tablaconcuadrcula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2410"/>
        <w:gridCol w:w="2268"/>
      </w:tblGrid>
      <w:tr w:rsidR="00E20DC7" w:rsidRPr="00E20DC7">
        <w:tc>
          <w:tcPr>
            <w:tcW w:w="3402" w:type="dxa"/>
            <w:tcBorders>
              <w:top w:val="single" w:sz="8" w:space="0" w:color="7F7F7F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highlight w:val="white"/>
              </w:rPr>
              <w:t>Sample</w:t>
            </w:r>
          </w:p>
        </w:tc>
        <w:tc>
          <w:tcPr>
            <w:tcW w:w="2410" w:type="dxa"/>
            <w:tcBorders>
              <w:top w:val="single" w:sz="8" w:space="0" w:color="7F7F7F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highlight w:val="white"/>
              </w:rPr>
              <w:t>CBZ degradation rate constant</w:t>
            </w:r>
          </w:p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highlight w:val="white"/>
              </w:rPr>
              <w:t>(min</w:t>
            </w:r>
            <w:r w:rsidRPr="00E20DC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highlight w:val="white"/>
                <w:vertAlign w:val="superscript"/>
              </w:rPr>
              <w:t>-1</w:t>
            </w:r>
            <w:r w:rsidRPr="00E20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highlight w:val="white"/>
              </w:rPr>
              <w:t>‧ 10</w:t>
            </w:r>
            <w:r w:rsidRPr="00E20DC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highlight w:val="white"/>
                <w:vertAlign w:val="superscript"/>
              </w:rPr>
              <w:t>-2</w:t>
            </w:r>
            <w:r w:rsidRPr="00E20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highlight w:val="white"/>
              </w:rPr>
              <w:t>)</w:t>
            </w:r>
          </w:p>
        </w:tc>
        <w:tc>
          <w:tcPr>
            <w:tcW w:w="2268" w:type="dxa"/>
            <w:tcBorders>
              <w:top w:val="single" w:sz="8" w:space="0" w:color="7F7F7F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highlight w:val="white"/>
              </w:rPr>
              <w:t>IBP degradation rate constant</w:t>
            </w:r>
          </w:p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highlight w:val="white"/>
              </w:rPr>
              <w:t>(min</w:t>
            </w:r>
            <w:r w:rsidRPr="00E20DC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highlight w:val="white"/>
                <w:vertAlign w:val="superscript"/>
              </w:rPr>
              <w:t>-1</w:t>
            </w:r>
            <w:r w:rsidRPr="00E20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highlight w:val="white"/>
              </w:rPr>
              <w:t>‧ 10</w:t>
            </w:r>
            <w:r w:rsidRPr="00E20DC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highlight w:val="white"/>
                <w:vertAlign w:val="superscript"/>
              </w:rPr>
              <w:t>-2</w:t>
            </w:r>
            <w:r w:rsidRPr="00E20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highlight w:val="white"/>
              </w:rPr>
              <w:t>)</w:t>
            </w:r>
          </w:p>
        </w:tc>
      </w:tr>
      <w:tr w:rsidR="00E20DC7" w:rsidRPr="00E20DC7"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Photolysis</w:t>
            </w:r>
          </w:p>
        </w:tc>
        <w:tc>
          <w:tcPr>
            <w:tcW w:w="2410" w:type="dxa"/>
            <w:tcBorders>
              <w:top w:val="none" w:sz="4" w:space="0" w:color="000000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0.5±0.02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1.2±0.0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5</w:t>
            </w:r>
          </w:p>
        </w:tc>
      </w:tr>
      <w:tr w:rsidR="00E20DC7" w:rsidRPr="00E20DC7"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Photolysis</w:t>
            </w:r>
            <w:r w:rsidR="00801EDF"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/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PMS</w:t>
            </w:r>
          </w:p>
        </w:tc>
        <w:tc>
          <w:tcPr>
            <w:tcW w:w="241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4.8±0.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14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5.2±0.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23</w:t>
            </w:r>
          </w:p>
        </w:tc>
      </w:tr>
      <w:tr w:rsidR="00E20DC7" w:rsidRPr="00E20DC7">
        <w:tc>
          <w:tcPr>
            <w:tcW w:w="3402" w:type="dxa"/>
            <w:tcBorders>
              <w:top w:val="single" w:sz="8" w:space="0" w:color="7F7F7F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TiO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/Ti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3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C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</w:p>
        </w:tc>
        <w:tc>
          <w:tcPr>
            <w:tcW w:w="2410" w:type="dxa"/>
            <w:tcBorders>
              <w:top w:val="single" w:sz="8" w:space="0" w:color="7F7F7F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6.9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±0.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19</w:t>
            </w:r>
          </w:p>
        </w:tc>
        <w:tc>
          <w:tcPr>
            <w:tcW w:w="2268" w:type="dxa"/>
            <w:tcBorders>
              <w:top w:val="single" w:sz="8" w:space="0" w:color="7F7F7F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6.2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±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0.24</w:t>
            </w:r>
          </w:p>
        </w:tc>
      </w:tr>
      <w:tr w:rsidR="00E20DC7" w:rsidRPr="00E20DC7"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TiO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/Ti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3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C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/5% MnFe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O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4</w:t>
            </w:r>
          </w:p>
        </w:tc>
        <w:tc>
          <w:tcPr>
            <w:tcW w:w="241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8.9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±0.27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7.0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±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0.18</w:t>
            </w:r>
          </w:p>
        </w:tc>
      </w:tr>
      <w:tr w:rsidR="00813113" w:rsidRPr="00E20DC7">
        <w:tc>
          <w:tcPr>
            <w:tcW w:w="3402" w:type="dxa"/>
            <w:tcBorders>
              <w:top w:val="single" w:sz="8" w:space="0" w:color="7F7F7F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 w:rsidP="00801EDF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TiO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/Ti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3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C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/5% MnFe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O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 xml:space="preserve">4 </w:t>
            </w:r>
            <w:r w:rsidR="00801EDF"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</w:rPr>
              <w:t>/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PMS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(0.25 mM)</w:t>
            </w:r>
          </w:p>
        </w:tc>
        <w:tc>
          <w:tcPr>
            <w:tcW w:w="2410" w:type="dxa"/>
            <w:tcBorders>
              <w:top w:val="single" w:sz="8" w:space="0" w:color="7F7F7F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28.6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±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0.98 </w:t>
            </w:r>
          </w:p>
        </w:tc>
        <w:tc>
          <w:tcPr>
            <w:tcW w:w="2268" w:type="dxa"/>
            <w:tcBorders>
              <w:top w:val="single" w:sz="8" w:space="0" w:color="7F7F7F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53.0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±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1.4</w:t>
            </w:r>
          </w:p>
        </w:tc>
      </w:tr>
    </w:tbl>
    <w:p w:rsidR="00813113" w:rsidRPr="00E20DC7" w:rsidRDefault="00813113">
      <w:pPr>
        <w:tabs>
          <w:tab w:val="left" w:pos="977"/>
        </w:tabs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13113" w:rsidRPr="00E20DC7" w:rsidRDefault="00813113">
      <w:pPr>
        <w:tabs>
          <w:tab w:val="left" w:pos="977"/>
        </w:tabs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13113" w:rsidRPr="00E20DC7" w:rsidRDefault="00813113">
      <w:pPr>
        <w:tabs>
          <w:tab w:val="left" w:pos="977"/>
        </w:tabs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13113" w:rsidRPr="00E20DC7" w:rsidRDefault="00813113">
      <w:pPr>
        <w:tabs>
          <w:tab w:val="left" w:pos="977"/>
        </w:tabs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13113" w:rsidRPr="00E20DC7" w:rsidRDefault="00813113">
      <w:pPr>
        <w:tabs>
          <w:tab w:val="left" w:pos="977"/>
        </w:tabs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13113" w:rsidRPr="00E20DC7" w:rsidRDefault="00813113">
      <w:pPr>
        <w:tabs>
          <w:tab w:val="left" w:pos="977"/>
        </w:tabs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13113" w:rsidRPr="00E20DC7" w:rsidRDefault="00813113">
      <w:pPr>
        <w:tabs>
          <w:tab w:val="left" w:pos="977"/>
        </w:tabs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813113" w:rsidRPr="00E20DC7" w:rsidRDefault="00331F9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line="113" w:lineRule="atLeast"/>
        <w:rPr>
          <w:color w:val="000000" w:themeColor="text1"/>
        </w:rPr>
      </w:pPr>
      <w:r w:rsidRPr="00E20DC7">
        <w:rPr>
          <w:rFonts w:ascii="Times New Roman" w:eastAsiaTheme="minorHAnsi" w:hAnsi="Times New Roman" w:cs="Times New Roman"/>
          <w:b/>
          <w:color w:val="000000" w:themeColor="text1"/>
          <w:sz w:val="24"/>
        </w:rPr>
        <w:lastRenderedPageBreak/>
        <w:t>Table S3.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 xml:space="preserve"> The TOC removal (%) in the CBZ/IBU mixture for selected processes</w:t>
      </w:r>
      <w:r w:rsidR="00394211"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>.</w:t>
      </w:r>
    </w:p>
    <w:tbl>
      <w:tblPr>
        <w:tblStyle w:val="Tablaconcuadrcula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2410"/>
      </w:tblGrid>
      <w:tr w:rsidR="00E20DC7" w:rsidRPr="00E20DC7">
        <w:tc>
          <w:tcPr>
            <w:tcW w:w="3402" w:type="dxa"/>
            <w:tcBorders>
              <w:top w:val="single" w:sz="8" w:space="0" w:color="7F7F7F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highlight w:val="white"/>
              </w:rPr>
              <w:t>Sample</w:t>
            </w:r>
          </w:p>
        </w:tc>
        <w:tc>
          <w:tcPr>
            <w:tcW w:w="2410" w:type="dxa"/>
            <w:tcBorders>
              <w:top w:val="single" w:sz="8" w:space="0" w:color="7F7F7F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5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TOC removal (%)</w:t>
            </w:r>
          </w:p>
        </w:tc>
      </w:tr>
      <w:tr w:rsidR="00E20DC7" w:rsidRPr="00E20DC7"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  <w:vertAlign w:val="superscript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TiO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/Ti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3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C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/5% MnFe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O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 xml:space="preserve">4 </w:t>
            </w:r>
            <w:r w:rsidR="00801EDF"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</w:rPr>
              <w:t>/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PMS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(0.25 mM) Amount of </w:t>
            </w:r>
            <w:proofErr w:type="spellStart"/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photocatalyts</w:t>
            </w:r>
            <w:proofErr w:type="spellEnd"/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- 2g/dm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none" w:sz="4" w:space="0" w:color="000000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54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±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1.7%</w:t>
            </w:r>
          </w:p>
        </w:tc>
      </w:tr>
      <w:tr w:rsidR="00E20DC7" w:rsidRPr="00E20DC7">
        <w:trPr>
          <w:trHeight w:val="860"/>
        </w:trPr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TiO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/Ti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3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C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/5% MnFe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O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 xml:space="preserve">4 </w:t>
            </w:r>
            <w:r w:rsidR="00801EDF"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</w:rPr>
              <w:t>/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PMS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(0.25 mM) Amount of </w:t>
            </w:r>
            <w:proofErr w:type="spellStart"/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photocatalyts</w:t>
            </w:r>
            <w:proofErr w:type="spellEnd"/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- 1g/dm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51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±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0.6%</w:t>
            </w:r>
          </w:p>
          <w:p w:rsidR="00813113" w:rsidRPr="00E20DC7" w:rsidRDefault="00813113">
            <w:pPr>
              <w:jc w:val="center"/>
              <w:rPr>
                <w:color w:val="000000" w:themeColor="text1"/>
              </w:rPr>
            </w:pPr>
          </w:p>
        </w:tc>
      </w:tr>
      <w:tr w:rsidR="00E20DC7" w:rsidRPr="00E20DC7">
        <w:tc>
          <w:tcPr>
            <w:tcW w:w="3402" w:type="dxa"/>
            <w:tcBorders>
              <w:top w:val="single" w:sz="8" w:space="0" w:color="7F7F7F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TiO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/Ti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3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C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/5% MnFe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O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 xml:space="preserve">4 </w:t>
            </w:r>
            <w:r w:rsidR="00801EDF"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</w:rPr>
              <w:t>/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PMS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(0.25 mM) Amount of </w:t>
            </w:r>
            <w:proofErr w:type="spellStart"/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photocatalyts</w:t>
            </w:r>
            <w:proofErr w:type="spellEnd"/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- 0.5 g/dm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vertAlign w:val="superscript"/>
              </w:rPr>
              <w:t>3</w:t>
            </w:r>
          </w:p>
        </w:tc>
        <w:tc>
          <w:tcPr>
            <w:tcW w:w="2410" w:type="dxa"/>
            <w:tcBorders>
              <w:top w:val="single" w:sz="8" w:space="0" w:color="7F7F7F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47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±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1.3%</w:t>
            </w:r>
          </w:p>
          <w:p w:rsidR="00813113" w:rsidRPr="00E20DC7" w:rsidRDefault="00813113">
            <w:pPr>
              <w:jc w:val="center"/>
              <w:rPr>
                <w:color w:val="000000" w:themeColor="text1"/>
              </w:rPr>
            </w:pPr>
          </w:p>
        </w:tc>
      </w:tr>
      <w:tr w:rsidR="00E20DC7" w:rsidRPr="00E20DC7">
        <w:tc>
          <w:tcPr>
            <w:tcW w:w="340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TiO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/Ti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3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C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/5% MnFe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O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4</w:t>
            </w:r>
            <w:r w:rsidR="00801EDF"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 xml:space="preserve"> </w:t>
            </w:r>
            <w:r w:rsidR="00801EDF"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/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PMS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(0.25 mM) pH 4.5</w:t>
            </w:r>
          </w:p>
        </w:tc>
        <w:tc>
          <w:tcPr>
            <w:tcW w:w="241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57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±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0.8%</w:t>
            </w:r>
          </w:p>
          <w:p w:rsidR="00813113" w:rsidRPr="00E20DC7" w:rsidRDefault="00813113">
            <w:pPr>
              <w:jc w:val="center"/>
              <w:rPr>
                <w:color w:val="000000" w:themeColor="text1"/>
              </w:rPr>
            </w:pPr>
          </w:p>
        </w:tc>
      </w:tr>
      <w:tr w:rsidR="00E20DC7" w:rsidRPr="00E20DC7">
        <w:tc>
          <w:tcPr>
            <w:tcW w:w="3402" w:type="dxa"/>
            <w:tcBorders>
              <w:top w:val="single" w:sz="8" w:space="0" w:color="7F7F7F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TiO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/Ti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3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C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/5% MnFe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O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4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</w:rPr>
              <w:t xml:space="preserve"> </w:t>
            </w:r>
            <w:r w:rsidR="00801EDF"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</w:rPr>
              <w:t>/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PMS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(0.25 mM) pH 9.5</w:t>
            </w:r>
          </w:p>
        </w:tc>
        <w:tc>
          <w:tcPr>
            <w:tcW w:w="2410" w:type="dxa"/>
            <w:tcBorders>
              <w:top w:val="single" w:sz="8" w:space="0" w:color="7F7F7F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43.1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±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1.1%</w:t>
            </w:r>
          </w:p>
          <w:p w:rsidR="00813113" w:rsidRPr="00E20DC7" w:rsidRDefault="00813113">
            <w:pPr>
              <w:jc w:val="center"/>
              <w:rPr>
                <w:color w:val="000000" w:themeColor="text1"/>
              </w:rPr>
            </w:pPr>
          </w:p>
        </w:tc>
      </w:tr>
      <w:tr w:rsidR="00E20DC7" w:rsidRPr="00E20DC7">
        <w:trPr>
          <w:trHeight w:val="329"/>
        </w:trPr>
        <w:tc>
          <w:tcPr>
            <w:tcW w:w="3402" w:type="dxa"/>
            <w:vMerge w:val="restart"/>
            <w:tcBorders>
              <w:top w:val="single" w:sz="8" w:space="0" w:color="7F7F7F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before="60" w:after="60" w:line="65" w:lineRule="atLeast"/>
              <w:jc w:val="center"/>
              <w:rPr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TiO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/Ti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3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C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/5% MnFe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>2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O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  <w:vertAlign w:val="subscript"/>
              </w:rPr>
              <w:t xml:space="preserve">4 </w:t>
            </w:r>
            <w:r w:rsidR="00801EDF" w:rsidRPr="00E20DC7">
              <w:rPr>
                <w:rFonts w:ascii="Times New Roman" w:eastAsia="Times New Roman" w:hAnsi="Times New Roman" w:cs="Times New Roman"/>
                <w:color w:val="000000" w:themeColor="text1"/>
                <w:sz w:val="20"/>
                <w:highlight w:val="white"/>
              </w:rPr>
              <w:t>/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PMS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 (0.25 mM) Seawater</w:t>
            </w:r>
          </w:p>
        </w:tc>
        <w:tc>
          <w:tcPr>
            <w:tcW w:w="2410" w:type="dxa"/>
            <w:vMerge w:val="restart"/>
            <w:tcBorders>
              <w:top w:val="single" w:sz="8" w:space="0" w:color="7F7F7F"/>
              <w:left w:val="none" w:sz="4" w:space="0" w:color="000000"/>
              <w:bottom w:val="single" w:sz="8" w:space="0" w:color="7F7F7F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13113" w:rsidRPr="00E20DC7" w:rsidRDefault="00331F9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60.3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highlight w:val="white"/>
              </w:rPr>
              <w:t>±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2.1%</w:t>
            </w:r>
          </w:p>
        </w:tc>
      </w:tr>
    </w:tbl>
    <w:p w:rsidR="00813113" w:rsidRPr="00E20DC7" w:rsidRDefault="00331F98" w:rsidP="0039421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40" w:after="0" w:line="360" w:lineRule="auto"/>
        <w:rPr>
          <w:color w:val="000000" w:themeColor="text1"/>
        </w:rPr>
      </w:pPr>
      <w:r w:rsidRPr="00E20DC7">
        <w:rPr>
          <w:rFonts w:ascii="Times New Roman" w:eastAsiaTheme="minorHAnsi" w:hAnsi="Times New Roman" w:cs="Times New Roman"/>
          <w:b/>
          <w:color w:val="000000" w:themeColor="text1"/>
          <w:sz w:val="24"/>
        </w:rPr>
        <w:t>Table S4.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 xml:space="preserve"> The metal lixiviation results for </w:t>
      </w:r>
      <w:r w:rsidR="00394211"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 xml:space="preserve">a 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 xml:space="preserve">post-process solution using 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TiO</w:t>
      </w:r>
      <w:r w:rsidRPr="00E20DC7">
        <w:rPr>
          <w:rFonts w:ascii="Times New Roman" w:eastAsiaTheme="minorHAnsi" w:hAnsi="Times New Roman" w:cs="Times New Roman"/>
          <w:color w:val="000000" w:themeColor="text1"/>
          <w:sz w:val="20"/>
          <w:highlight w:val="white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/Ti</w:t>
      </w:r>
      <w:r w:rsidRPr="00E20DC7">
        <w:rPr>
          <w:rFonts w:ascii="Times New Roman" w:eastAsiaTheme="minorHAnsi" w:hAnsi="Times New Roman" w:cs="Times New Roman"/>
          <w:color w:val="000000" w:themeColor="text1"/>
          <w:sz w:val="20"/>
          <w:highlight w:val="white"/>
          <w:vertAlign w:val="subscript"/>
        </w:rPr>
        <w:t>3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C</w:t>
      </w:r>
      <w:r w:rsidRPr="00E20DC7">
        <w:rPr>
          <w:rFonts w:ascii="Times New Roman" w:eastAsiaTheme="minorHAnsi" w:hAnsi="Times New Roman" w:cs="Times New Roman"/>
          <w:color w:val="000000" w:themeColor="text1"/>
          <w:sz w:val="20"/>
          <w:highlight w:val="white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/5% MnFe</w:t>
      </w:r>
      <w:r w:rsidRPr="00E20DC7">
        <w:rPr>
          <w:rFonts w:ascii="Times New Roman" w:eastAsiaTheme="minorHAnsi" w:hAnsi="Times New Roman" w:cs="Times New Roman"/>
          <w:color w:val="000000" w:themeColor="text1"/>
          <w:sz w:val="20"/>
          <w:highlight w:val="white"/>
          <w:vertAlign w:val="subscript"/>
        </w:rPr>
        <w:t>2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O</w:t>
      </w:r>
      <w:r w:rsidRPr="00E20DC7">
        <w:rPr>
          <w:rFonts w:ascii="Times New Roman" w:eastAsiaTheme="minorHAnsi" w:hAnsi="Times New Roman" w:cs="Times New Roman"/>
          <w:color w:val="000000" w:themeColor="text1"/>
          <w:sz w:val="20"/>
          <w:highlight w:val="white"/>
          <w:vertAlign w:val="subscript"/>
        </w:rPr>
        <w:t>4</w:t>
      </w:r>
      <w:r w:rsidR="00801EDF" w:rsidRPr="00E20DC7">
        <w:rPr>
          <w:rFonts w:ascii="Times New Roman" w:eastAsiaTheme="minorHAnsi" w:hAnsi="Times New Roman" w:cs="Times New Roman"/>
          <w:color w:val="000000" w:themeColor="text1"/>
          <w:sz w:val="20"/>
          <w:highlight w:val="white"/>
        </w:rPr>
        <w:t>/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highlight w:val="white"/>
        </w:rPr>
        <w:t>PMS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 xml:space="preserve"> (0.25 mM) and amount of photocataly</w:t>
      </w:r>
      <w:r w:rsidR="00801EDF"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>s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 xml:space="preserve">t </w:t>
      </w:r>
      <w:r w:rsidR="0001316D"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>–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 xml:space="preserve"> 2</w:t>
      </w:r>
      <w:r w:rsidR="0001316D"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 xml:space="preserve"> 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>g/dm</w:t>
      </w:r>
      <w:r w:rsidRPr="00E20DC7">
        <w:rPr>
          <w:rFonts w:ascii="Times New Roman" w:eastAsiaTheme="minorHAnsi" w:hAnsi="Times New Roman" w:cs="Times New Roman"/>
          <w:color w:val="000000" w:themeColor="text1"/>
          <w:sz w:val="24"/>
          <w:vertAlign w:val="superscript"/>
        </w:rPr>
        <w:t>3</w:t>
      </w:r>
      <w:r w:rsidR="00394211" w:rsidRPr="00E20DC7">
        <w:rPr>
          <w:rFonts w:ascii="Times New Roman" w:eastAsiaTheme="minorHAnsi" w:hAnsi="Times New Roman" w:cs="Times New Roman"/>
          <w:color w:val="000000" w:themeColor="text1"/>
          <w:sz w:val="24"/>
        </w:rPr>
        <w:t>.</w:t>
      </w:r>
    </w:p>
    <w:tbl>
      <w:tblPr>
        <w:tblStyle w:val="Tablanormal2"/>
        <w:tblW w:w="0" w:type="auto"/>
        <w:tblLook w:val="04A0" w:firstRow="1" w:lastRow="0" w:firstColumn="1" w:lastColumn="0" w:noHBand="0" w:noVBand="1"/>
      </w:tblPr>
      <w:tblGrid>
        <w:gridCol w:w="3020"/>
        <w:gridCol w:w="3025"/>
        <w:gridCol w:w="3027"/>
      </w:tblGrid>
      <w:tr w:rsidR="00E20DC7" w:rsidRPr="00E20DC7" w:rsidTr="001C26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4" w:type="dxa"/>
            <w:vMerge w:val="restart"/>
          </w:tcPr>
          <w:p w:rsidR="00813113" w:rsidRPr="00E20DC7" w:rsidRDefault="00331F9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Element</w:t>
            </w:r>
          </w:p>
        </w:tc>
        <w:tc>
          <w:tcPr>
            <w:tcW w:w="3089" w:type="dxa"/>
            <w:vMerge w:val="restart"/>
          </w:tcPr>
          <w:p w:rsidR="00813113" w:rsidRPr="00E20DC7" w:rsidRDefault="00331F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 xml:space="preserve">ICP-OES </w:t>
            </w:r>
          </w:p>
          <w:p w:rsidR="00813113" w:rsidRPr="00E20DC7" w:rsidRDefault="00331F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(mg/dm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vertAlign w:val="superscript"/>
              </w:rPr>
              <w:t>3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)</w:t>
            </w:r>
          </w:p>
        </w:tc>
        <w:tc>
          <w:tcPr>
            <w:tcW w:w="3093" w:type="dxa"/>
          </w:tcPr>
          <w:p w:rsidR="00813113" w:rsidRPr="00E20DC7" w:rsidRDefault="00331F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Iron Photometric Test</w:t>
            </w:r>
          </w:p>
          <w:p w:rsidR="00813113" w:rsidRPr="00E20DC7" w:rsidRDefault="00331F9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(mg/dm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  <w:vertAlign w:val="superscript"/>
              </w:rPr>
              <w:t>3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)</w:t>
            </w:r>
          </w:p>
        </w:tc>
      </w:tr>
      <w:tr w:rsidR="00E20DC7" w:rsidRPr="00E20DC7" w:rsidTr="001C26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4" w:type="dxa"/>
          </w:tcPr>
          <w:p w:rsidR="00813113" w:rsidRPr="00E20DC7" w:rsidRDefault="00331F9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spellStart"/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Ti</w:t>
            </w:r>
            <w:proofErr w:type="spellEnd"/>
          </w:p>
        </w:tc>
        <w:tc>
          <w:tcPr>
            <w:tcW w:w="3110" w:type="dxa"/>
          </w:tcPr>
          <w:p w:rsidR="00813113" w:rsidRPr="00E20DC7" w:rsidRDefault="00331F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&lt;LOD</w:t>
            </w:r>
          </w:p>
        </w:tc>
        <w:tc>
          <w:tcPr>
            <w:tcW w:w="3110" w:type="dxa"/>
          </w:tcPr>
          <w:p w:rsidR="00813113" w:rsidRPr="00E20DC7" w:rsidRDefault="0033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-</w:t>
            </w:r>
          </w:p>
        </w:tc>
      </w:tr>
      <w:tr w:rsidR="00E20DC7" w:rsidRPr="00E20DC7" w:rsidTr="001C26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4" w:type="dxa"/>
          </w:tcPr>
          <w:p w:rsidR="00813113" w:rsidRPr="00E20DC7" w:rsidRDefault="00331F9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Mn</w:t>
            </w:r>
          </w:p>
        </w:tc>
        <w:tc>
          <w:tcPr>
            <w:tcW w:w="3110" w:type="dxa"/>
          </w:tcPr>
          <w:p w:rsidR="00813113" w:rsidRPr="00E20DC7" w:rsidRDefault="00331F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0.423</w:t>
            </w:r>
            <w:r w:rsidRPr="00E20DC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</w:rPr>
              <w:t>±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0.032</w:t>
            </w:r>
          </w:p>
        </w:tc>
        <w:tc>
          <w:tcPr>
            <w:tcW w:w="3110" w:type="dxa"/>
          </w:tcPr>
          <w:p w:rsidR="00813113" w:rsidRPr="00E20DC7" w:rsidRDefault="0033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-</w:t>
            </w:r>
          </w:p>
        </w:tc>
      </w:tr>
      <w:tr w:rsidR="00E20DC7" w:rsidRPr="00E20DC7" w:rsidTr="001C265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4" w:type="dxa"/>
          </w:tcPr>
          <w:p w:rsidR="00813113" w:rsidRPr="00E20DC7" w:rsidRDefault="00331F98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Fe</w:t>
            </w:r>
          </w:p>
        </w:tc>
        <w:tc>
          <w:tcPr>
            <w:tcW w:w="3110" w:type="dxa"/>
          </w:tcPr>
          <w:p w:rsidR="00813113" w:rsidRPr="00E20DC7" w:rsidRDefault="00331F98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0.089</w:t>
            </w:r>
            <w:r w:rsidRPr="00E20DC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</w:rPr>
              <w:t>±</w:t>
            </w: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0.010</w:t>
            </w:r>
          </w:p>
        </w:tc>
        <w:tc>
          <w:tcPr>
            <w:tcW w:w="3110" w:type="dxa"/>
          </w:tcPr>
          <w:p w:rsidR="00813113" w:rsidRPr="00E20DC7" w:rsidRDefault="0033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E20DC7">
              <w:rPr>
                <w:rFonts w:ascii="Times New Roman" w:eastAsia="Times New Roman" w:hAnsi="Times New Roman" w:cs="Times New Roman"/>
                <w:color w:val="000000" w:themeColor="text1"/>
                <w:sz w:val="24"/>
              </w:rPr>
              <w:t>0.08</w:t>
            </w:r>
          </w:p>
        </w:tc>
      </w:tr>
    </w:tbl>
    <w:p w:rsidR="00813113" w:rsidRPr="00E20DC7" w:rsidRDefault="00813113">
      <w:pPr>
        <w:tabs>
          <w:tab w:val="left" w:pos="977"/>
        </w:tabs>
        <w:spacing w:after="0" w:line="48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sectPr w:rsidR="00813113" w:rsidRPr="00E20DC7">
      <w:footerReference w:type="default" r:id="rId26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092B" w:rsidRDefault="004D092B">
      <w:pPr>
        <w:spacing w:after="0" w:line="240" w:lineRule="auto"/>
      </w:pPr>
      <w:r>
        <w:separator/>
      </w:r>
    </w:p>
  </w:endnote>
  <w:endnote w:type="continuationSeparator" w:id="0">
    <w:p w:rsidR="004D092B" w:rsidRDefault="004D0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3113" w:rsidRDefault="00331F98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t>1</w:t>
    </w:r>
    <w:r>
      <w:rPr>
        <w:color w:val="000000"/>
      </w:rPr>
      <w:fldChar w:fldCharType="end"/>
    </w:r>
  </w:p>
  <w:p w:rsidR="00813113" w:rsidRDefault="00813113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092B" w:rsidRDefault="004D092B">
      <w:pPr>
        <w:spacing w:after="0" w:line="240" w:lineRule="auto"/>
      </w:pPr>
      <w:r>
        <w:separator/>
      </w:r>
    </w:p>
  </w:footnote>
  <w:footnote w:type="continuationSeparator" w:id="0">
    <w:p w:rsidR="004D092B" w:rsidRDefault="004D0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F2EFD"/>
    <w:multiLevelType w:val="multilevel"/>
    <w:tmpl w:val="2F9CD5B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080" w:hanging="72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EyMzM3NDOzNDQxMjVW0lEKTi0uzszPAykwrgUAU9fZCSwAAAA="/>
  </w:docVars>
  <w:rsids>
    <w:rsidRoot w:val="00813113"/>
    <w:rsid w:val="0001316D"/>
    <w:rsid w:val="001C265B"/>
    <w:rsid w:val="002F42F5"/>
    <w:rsid w:val="00331F98"/>
    <w:rsid w:val="00394211"/>
    <w:rsid w:val="004D092B"/>
    <w:rsid w:val="00801EDF"/>
    <w:rsid w:val="00813113"/>
    <w:rsid w:val="00AE5FDB"/>
    <w:rsid w:val="00D770BC"/>
    <w:rsid w:val="00E20DC7"/>
    <w:rsid w:val="00F6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75087E-31E7-413E-97B6-7C6EA5B68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eading1Char">
    <w:name w:val="Heading 1 Char"/>
    <w:basedOn w:val="Fuentedeprrafopredete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Fuentedeprrafopredete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Fuentedeprrafopredete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uentedeprrafopredete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uentedeprrafopredete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Fuentedeprrafopredete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Fuentedeprrafopredete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Fuentedeprrafopredete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Fuentedeprrafopredeter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Fuentedeprrafopredeter"/>
    <w:uiPriority w:val="10"/>
    <w:rPr>
      <w:sz w:val="48"/>
      <w:szCs w:val="48"/>
    </w:rPr>
  </w:style>
  <w:style w:type="character" w:customStyle="1" w:styleId="SubtitleChar">
    <w:name w:val="Subtitle Char"/>
    <w:basedOn w:val="Fuentedeprrafopredeter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Ttulo1Car">
    <w:name w:val="Título 1 Car"/>
    <w:basedOn w:val="Fuentedeprrafopredeter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Sinespaciado">
    <w:name w:val="No Spacing"/>
    <w:uiPriority w:val="1"/>
    <w:qFormat/>
    <w:pPr>
      <w:spacing w:after="0" w:line="240" w:lineRule="auto"/>
    </w:pPr>
  </w:style>
  <w:style w:type="character" w:customStyle="1" w:styleId="TtuloCar">
    <w:name w:val="Título Car"/>
    <w:basedOn w:val="Fuentedeprrafopredeter"/>
    <w:link w:val="Ttulo"/>
    <w:uiPriority w:val="10"/>
    <w:rPr>
      <w:sz w:val="48"/>
      <w:szCs w:val="48"/>
    </w:rPr>
  </w:style>
  <w:style w:type="character" w:customStyle="1" w:styleId="SubttuloCar">
    <w:name w:val="Subtítulo Car"/>
    <w:basedOn w:val="Fuentedeprrafopredeter"/>
    <w:link w:val="Subttulo"/>
    <w:uiPriority w:val="11"/>
    <w:rPr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qFormat/>
    <w:pPr>
      <w:ind w:left="720" w:right="720"/>
    </w:pPr>
    <w:rPr>
      <w:i/>
    </w:rPr>
  </w:style>
  <w:style w:type="character" w:customStyle="1" w:styleId="CitaCar">
    <w:name w:val="Cita Car"/>
    <w:link w:val="Cita"/>
    <w:uiPriority w:val="29"/>
    <w:rPr>
      <w:i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destacadaCar">
    <w:name w:val="Cita destacada Car"/>
    <w:link w:val="Citadestacada"/>
    <w:uiPriority w:val="30"/>
    <w:rPr>
      <w:i/>
    </w:rPr>
  </w:style>
  <w:style w:type="character" w:customStyle="1" w:styleId="HeaderChar">
    <w:name w:val="Header Char"/>
    <w:basedOn w:val="Fuentedeprrafopredeter"/>
    <w:uiPriority w:val="99"/>
  </w:style>
  <w:style w:type="character" w:customStyle="1" w:styleId="FooterChar">
    <w:name w:val="Footer Char"/>
    <w:basedOn w:val="Fuentedeprrafopredeter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3">
    <w:name w:val="Grid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decuadrcula4">
    <w:name w:val="Grid Table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aconcuadrcula5oscura">
    <w:name w:val="Grid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adelista2">
    <w:name w:val="List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3">
    <w:name w:val="List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adelista4">
    <w:name w:val="List Table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adelista5oscura">
    <w:name w:val="List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adelista6concolores">
    <w:name w:val="List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val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val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val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val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val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val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val="pl-PL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val="pl-PL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val="pl-PL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val="pl-PL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val="pl-PL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val="pl-PL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val="pl-PL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val="pl-PL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  <w:pPr>
      <w:spacing w:after="0"/>
    </w:p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escripci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MDPI42tablebody">
    <w:name w:val="MDPI_4.2_table_body"/>
    <w:qFormat/>
    <w:pPr>
      <w:spacing w:after="0"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eastAsia="de-DE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Subttulo">
    <w:name w:val="Subtitle"/>
    <w:basedOn w:val="Normal"/>
    <w:next w:val="Normal"/>
    <w:link w:val="SubttuloCar"/>
    <w:uiPriority w:val="11"/>
    <w:qFormat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StGen0">
    <w:name w:val="StGen0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">
    <w:name w:val="StGen1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2">
    <w:name w:val="StGen2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3">
    <w:name w:val="StGen3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4">
    <w:name w:val="StGen4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5">
    <w:name w:val="StGen5"/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customStyle="1" w:styleId="docdata">
    <w:name w:val="docdat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nfasis">
    <w:name w:val="Emphasis"/>
    <w:uiPriority w:val="20"/>
    <w:qFormat/>
    <w:rPr>
      <w:i/>
      <w:iCs/>
    </w:rPr>
  </w:style>
  <w:style w:type="character" w:customStyle="1" w:styleId="anchor-text">
    <w:name w:val="anchor-text"/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3942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image" Target="media/image3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4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20.png"/><Relationship Id="rId25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na.grzegorska@pg.edu.pl" TargetMode="External"/><Relationship Id="rId24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image" Target="media/image10.png"/><Relationship Id="rId23" Type="http://schemas.openxmlformats.org/officeDocument/2006/relationships/image" Target="media/image50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Pakiet 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pwh4ZBeCLvaNnJoiNSGLUo7/BQ==">AMUW2mV3brh1YoZ6+GuWIU1CO5/D+y4nF7miWTa6vU+WcrhQO7fSPZmOc6uTZlNQZgGW5gK7VrFcG+PFZpvLgGeCv+Yqc/0KzeILsuxKV/X57YigOTV6nMqsYAFeh13lmi1CHFO8Tc/whXl4OwgDvi0qqjCz8dtpo3UqrCcn98yMZCjSBlhTInl4dVJJJP+FFnxXnvrCnxZ0MoTqHPIVrsdpBVIm7IaCMA==</go:docsCustomData>
</go:gDocsCustomXmlDataStorage>
</file>

<file path=customXml/item3.xml><?xml version="1.0" encoding="utf-8"?>
<w:settings xmlns:w="http://schemas.openxmlformats.org/wordprocessingml/2006/main">
  <w:SpecialFormsHighlight w:val="c9c8ff"/>
</w:setting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4.xml><?xml version="1.0" encoding="utf-8"?>
<ds:datastoreItem xmlns:ds="http://schemas.openxmlformats.org/officeDocument/2006/customXml" ds:itemID="{B9A74289-770D-47DA-897E-876BE75B4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435</Words>
  <Characters>2396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Politechnika Gdańska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Zielińska-Jurek</dc:creator>
  <cp:lastModifiedBy>Teresa Iturgaiz</cp:lastModifiedBy>
  <cp:revision>2</cp:revision>
  <dcterms:created xsi:type="dcterms:W3CDTF">2023-10-31T19:31:00Z</dcterms:created>
  <dcterms:modified xsi:type="dcterms:W3CDTF">2023-10-31T19:31:00Z</dcterms:modified>
</cp:coreProperties>
</file>